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17.03.2014 N 92-пп</w:t>
              <w:br/>
              <w:t xml:space="preserve">(ред. от 11.04.2022)</w:t>
              <w:br/>
              <w:t xml:space="preserve">"Об утверждении порядка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2019 - 2048 годы"</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22.05.2023</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17 марта 2014 г. N 92-пп</w:t>
      </w:r>
    </w:p>
    <w:p>
      <w:pPr>
        <w:pStyle w:val="2"/>
        <w:jc w:val="center"/>
      </w:pPr>
      <w:r>
        <w:rPr>
          <w:sz w:val="20"/>
        </w:rPr>
      </w:r>
    </w:p>
    <w:p>
      <w:pPr>
        <w:pStyle w:val="2"/>
        <w:jc w:val="center"/>
      </w:pPr>
      <w:r>
        <w:rPr>
          <w:sz w:val="20"/>
        </w:rPr>
        <w:t xml:space="preserve">ОБ УТВЕРЖДЕНИИ ПОРЯДКА РАЗРАБОТКИ КРАТКОСРОЧНЫХ ПЛАНОВ</w:t>
      </w:r>
    </w:p>
    <w:p>
      <w:pPr>
        <w:pStyle w:val="2"/>
        <w:jc w:val="center"/>
      </w:pPr>
      <w:r>
        <w:rPr>
          <w:sz w:val="20"/>
        </w:rPr>
        <w:t xml:space="preserve">РЕАЛИЗАЦИИ АДРЕСНОЙ ПРОГРАММЫ ПРОВЕДЕНИЯ КАПИТАЛЬНОГО</w:t>
      </w:r>
    </w:p>
    <w:p>
      <w:pPr>
        <w:pStyle w:val="2"/>
        <w:jc w:val="center"/>
      </w:pPr>
      <w:r>
        <w:rPr>
          <w:sz w:val="20"/>
        </w:rPr>
        <w:t xml:space="preserve">РЕМОНТА ОБЩЕГО ИМУЩЕСТВА В МНОГОКВАРТИРНЫХ ДОМАХ</w:t>
      </w:r>
    </w:p>
    <w:p>
      <w:pPr>
        <w:pStyle w:val="2"/>
        <w:jc w:val="center"/>
      </w:pPr>
      <w:r>
        <w:rPr>
          <w:sz w:val="20"/>
        </w:rPr>
        <w:t xml:space="preserve">В БЕЛГОРОДСКОЙ ОБЛАСТИ НА 2019 - 2048 ГОДЫ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07.07.2015 </w:t>
            </w:r>
            <w:hyperlink w:history="0" r:id="rId7" w:tooltip="Постановление Правительства Белгородской обл. от 07.07.2015 N 256-пп &quot;О внесении изменений в некоторые постановления Правительства Белгородской области&quot; {КонсультантПлюс}">
              <w:r>
                <w:rPr>
                  <w:sz w:val="20"/>
                  <w:color w:val="0000ff"/>
                </w:rPr>
                <w:t xml:space="preserve">N 256-пп</w:t>
              </w:r>
            </w:hyperlink>
            <w:r>
              <w:rPr>
                <w:sz w:val="20"/>
                <w:color w:val="392c69"/>
              </w:rPr>
              <w:t xml:space="preserve">, от 14.09.2015 </w:t>
            </w:r>
            <w:hyperlink w:history="0" r:id="rId8" w:tooltip="Постановление Правительства Белгородской обл. от 14.09.2015 N 337-пп &quot;О внесении изменений в постановление Правительства Белгородской области от 17 марта 2014 года N 92-пп&quot; {КонсультантПлюс}">
              <w:r>
                <w:rPr>
                  <w:sz w:val="20"/>
                  <w:color w:val="0000ff"/>
                </w:rPr>
                <w:t xml:space="preserve">N 337-пп</w:t>
              </w:r>
            </w:hyperlink>
            <w:r>
              <w:rPr>
                <w:sz w:val="20"/>
                <w:color w:val="392c69"/>
              </w:rPr>
              <w:t xml:space="preserve">, от 15.08.2016 </w:t>
            </w:r>
            <w:hyperlink w:history="0" r:id="rId9" w:tooltip="Постановление Правительства Белгородской обл. от 15.08.2016 N 303-пп &quot;О внесении изменений в постановление Правительства Белгородской области от 17 марта 2014 года N 92-пп&quot; {КонсультантПлюс}">
              <w:r>
                <w:rPr>
                  <w:sz w:val="20"/>
                  <w:color w:val="0000ff"/>
                </w:rPr>
                <w:t xml:space="preserve">N 303-пп</w:t>
              </w:r>
            </w:hyperlink>
            <w:r>
              <w:rPr>
                <w:sz w:val="20"/>
                <w:color w:val="392c69"/>
              </w:rPr>
              <w:t xml:space="preserve">,</w:t>
            </w:r>
          </w:p>
          <w:p>
            <w:pPr>
              <w:pStyle w:val="0"/>
              <w:jc w:val="center"/>
            </w:pPr>
            <w:r>
              <w:rPr>
                <w:sz w:val="20"/>
                <w:color w:val="392c69"/>
              </w:rPr>
              <w:t xml:space="preserve">от 28.05.2018 </w:t>
            </w:r>
            <w:hyperlink w:history="0" r:id="rId10" w:tooltip="Постановление Правительства Белгородской обл. от 28.05.2018 N 189-пп &quot;О внесении изменений в постановление Правительства Белгородской области от 17 марта 2014 года N 92-пп&quot; (вместе с &quot;Порядком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6 - 2045 годы&quot;) {КонсультантПлюс}">
              <w:r>
                <w:rPr>
                  <w:sz w:val="20"/>
                  <w:color w:val="0000ff"/>
                </w:rPr>
                <w:t xml:space="preserve">N 189-пп</w:t>
              </w:r>
            </w:hyperlink>
            <w:r>
              <w:rPr>
                <w:sz w:val="20"/>
                <w:color w:val="392c69"/>
              </w:rPr>
              <w:t xml:space="preserve">, от 06.07.2020 </w:t>
            </w:r>
            <w:hyperlink w:history="0" r:id="rId11" w:tooltip="Постановление Правительства Белгородской обл. от 06.07.2020 N 301-пп &quot;О внесении изменений в постановление Правительства Белгородской области от 17 марта 2014 года N 92-пп&quot; (вместе с &quot;Порядком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 2048 годы&quot;) {КонсультантПлюс}">
              <w:r>
                <w:rPr>
                  <w:sz w:val="20"/>
                  <w:color w:val="0000ff"/>
                </w:rPr>
                <w:t xml:space="preserve">N 301-пп</w:t>
              </w:r>
            </w:hyperlink>
            <w:r>
              <w:rPr>
                <w:sz w:val="20"/>
                <w:color w:val="392c69"/>
              </w:rPr>
              <w:t xml:space="preserve">, от 11.04.2022 </w:t>
            </w:r>
            <w:hyperlink w:history="0" r:id="rId12" w:tooltip="Постановление Правительства Белгородской обл. от 11.04.2022 N 222-пп &quot;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пп&quot; {КонсультантПлюс}">
              <w:r>
                <w:rPr>
                  <w:sz w:val="20"/>
                  <w:color w:val="0000ff"/>
                </w:rPr>
                <w:t xml:space="preserve">N 222-пп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В соответствии с </w:t>
      </w:r>
      <w:hyperlink w:history="0" r:id="rId13" w:tooltip="&quot;Жилищный кодекс Российской Федерации&quot; от 29.12.2004 N 188-ФЗ (ред. от 28.04.2023) {КонсультантПлюс}">
        <w:r>
          <w:rPr>
            <w:sz w:val="20"/>
            <w:color w:val="0000ff"/>
          </w:rPr>
          <w:t xml:space="preserve">частью 7 статьи 168</w:t>
        </w:r>
      </w:hyperlink>
      <w:r>
        <w:rPr>
          <w:sz w:val="20"/>
        </w:rPr>
        <w:t xml:space="preserve"> Жилищного кодекса Российской Федерации, в целях реализации адресной </w:t>
      </w:r>
      <w:hyperlink w:history="0" r:id="rId14" w:tooltip="Постановление Правительства Белгородской обл. от 19.08.2013 N 345-пп (ред. от 22.08.2022) &quot;Об утверждении адресной программы проведения капитального ремонта общего имущества в многоквартирных домах в Белгородской области на 2019 - 2048 годы&quot; {КонсультантПлюс}">
        <w:r>
          <w:rPr>
            <w:sz w:val="20"/>
            <w:color w:val="0000ff"/>
          </w:rPr>
          <w:t xml:space="preserve">программы</w:t>
        </w:r>
      </w:hyperlink>
      <w:r>
        <w:rPr>
          <w:sz w:val="20"/>
        </w:rPr>
        <w:t xml:space="preserve"> проведения капитального ремонта общего имущества в многоквартирных домах в Белгородской области на 2019 - 2048 годы, утвержденной постановлением Правительства Белгородской области от 19 августа 2013 года N 345-пп, конкретизации сроков проведения капитального ремонта общего имущества в многоквартирных домах, уточнения планируемых видов услуг и (или) работ по капитальному ремонту общего имущества в многоквартирных домах, определения видов и объема государственной поддержки, муниципальной поддержки капитального ремонта Правительство Белгородской области постановляет:</w:t>
      </w:r>
    </w:p>
    <w:p>
      <w:pPr>
        <w:pStyle w:val="0"/>
        <w:jc w:val="both"/>
      </w:pPr>
      <w:r>
        <w:rPr>
          <w:sz w:val="20"/>
        </w:rPr>
        <w:t xml:space="preserve">(в ред. постановлений Правительства Белгородской области от 14.09.2015 </w:t>
      </w:r>
      <w:hyperlink w:history="0" r:id="rId15" w:tooltip="Постановление Правительства Белгородской обл. от 14.09.2015 N 337-пп &quot;О внесении изменений в постановление Правительства Белгородской области от 17 марта 2014 года N 92-пп&quot; {КонсультантПлюс}">
        <w:r>
          <w:rPr>
            <w:sz w:val="20"/>
            <w:color w:val="0000ff"/>
          </w:rPr>
          <w:t xml:space="preserve">N 337-пп</w:t>
        </w:r>
      </w:hyperlink>
      <w:r>
        <w:rPr>
          <w:sz w:val="20"/>
        </w:rPr>
        <w:t xml:space="preserve">, от 28.05.2018 </w:t>
      </w:r>
      <w:hyperlink w:history="0" r:id="rId16" w:tooltip="Постановление Правительства Белгородской обл. от 28.05.2018 N 189-пп &quot;О внесении изменений в постановление Правительства Белгородской области от 17 марта 2014 года N 92-пп&quot; (вместе с &quot;Порядком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6 - 2045 годы&quot;) {КонсультантПлюс}">
        <w:r>
          <w:rPr>
            <w:sz w:val="20"/>
            <w:color w:val="0000ff"/>
          </w:rPr>
          <w:t xml:space="preserve">N 189-пп</w:t>
        </w:r>
      </w:hyperlink>
      <w:r>
        <w:rPr>
          <w:sz w:val="20"/>
        </w:rPr>
        <w:t xml:space="preserve">, от 06.07.2020 </w:t>
      </w:r>
      <w:hyperlink w:history="0" r:id="rId17" w:tooltip="Постановление Правительства Белгородской обл. от 06.07.2020 N 301-пп &quot;О внесении изменений в постановление Правительства Белгородской области от 17 марта 2014 года N 92-пп&quot; (вместе с &quot;Порядком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 2048 годы&quot;) {КонсультантПлюс}">
        <w:r>
          <w:rPr>
            <w:sz w:val="20"/>
            <w:color w:val="0000ff"/>
          </w:rPr>
          <w:t xml:space="preserve">N 301-пп</w:t>
        </w:r>
      </w:hyperlink>
      <w:r>
        <w:rPr>
          <w:sz w:val="20"/>
        </w:rPr>
        <w:t xml:space="preserve">)</w:t>
      </w:r>
    </w:p>
    <w:p>
      <w:pPr>
        <w:pStyle w:val="0"/>
        <w:ind w:firstLine="540"/>
        <w:jc w:val="both"/>
      </w:pPr>
      <w:r>
        <w:rPr>
          <w:sz w:val="20"/>
        </w:rPr>
      </w:r>
    </w:p>
    <w:p>
      <w:pPr>
        <w:pStyle w:val="0"/>
        <w:ind w:firstLine="540"/>
        <w:jc w:val="both"/>
      </w:pPr>
      <w:r>
        <w:rPr>
          <w:sz w:val="20"/>
        </w:rPr>
        <w:t xml:space="preserve">1. Утвердить </w:t>
      </w:r>
      <w:hyperlink w:history="0" w:anchor="P39" w:tooltip="ПОРЯДОК">
        <w:r>
          <w:rPr>
            <w:sz w:val="20"/>
            <w:color w:val="0000ff"/>
          </w:rPr>
          <w:t xml:space="preserve">Порядок</w:t>
        </w:r>
      </w:hyperlink>
      <w:r>
        <w:rPr>
          <w:sz w:val="20"/>
        </w:rPr>
        <w:t xml:space="preserve">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2019 - 2048 годы.</w:t>
      </w:r>
    </w:p>
    <w:p>
      <w:pPr>
        <w:pStyle w:val="0"/>
        <w:jc w:val="both"/>
      </w:pPr>
      <w:r>
        <w:rPr>
          <w:sz w:val="20"/>
        </w:rPr>
        <w:t xml:space="preserve">(в ред. постановлений Правительства Белгородской области от 14.09.2015 </w:t>
      </w:r>
      <w:hyperlink w:history="0" r:id="rId18" w:tooltip="Постановление Правительства Белгородской обл. от 14.09.2015 N 337-пп &quot;О внесении изменений в постановление Правительства Белгородской области от 17 марта 2014 года N 92-пп&quot; {КонсультантПлюс}">
        <w:r>
          <w:rPr>
            <w:sz w:val="20"/>
            <w:color w:val="0000ff"/>
          </w:rPr>
          <w:t xml:space="preserve">N 337-пп</w:t>
        </w:r>
      </w:hyperlink>
      <w:r>
        <w:rPr>
          <w:sz w:val="20"/>
        </w:rPr>
        <w:t xml:space="preserve">, от 28.05.2018 </w:t>
      </w:r>
      <w:hyperlink w:history="0" r:id="rId19" w:tooltip="Постановление Правительства Белгородской обл. от 28.05.2018 N 189-пп &quot;О внесении изменений в постановление Правительства Белгородской области от 17 марта 2014 года N 92-пп&quot; (вместе с &quot;Порядком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6 - 2045 годы&quot;) {КонсультантПлюс}">
        <w:r>
          <w:rPr>
            <w:sz w:val="20"/>
            <w:color w:val="0000ff"/>
          </w:rPr>
          <w:t xml:space="preserve">N 189-пп</w:t>
        </w:r>
      </w:hyperlink>
      <w:r>
        <w:rPr>
          <w:sz w:val="20"/>
        </w:rPr>
        <w:t xml:space="preserve">, от 06.07.2020 </w:t>
      </w:r>
      <w:hyperlink w:history="0" r:id="rId20" w:tooltip="Постановление Правительства Белгородской обл. от 06.07.2020 N 301-пп &quot;О внесении изменений в постановление Правительства Белгородской области от 17 марта 2014 года N 92-пп&quot; (вместе с &quot;Порядком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 2048 годы&quot;) {КонсультантПлюс}">
        <w:r>
          <w:rPr>
            <w:sz w:val="20"/>
            <w:color w:val="0000ff"/>
          </w:rPr>
          <w:t xml:space="preserve">N 301-пп</w:t>
        </w:r>
      </w:hyperlink>
      <w:r>
        <w:rPr>
          <w:sz w:val="20"/>
        </w:rPr>
        <w:t xml:space="preserve">)</w:t>
      </w:r>
    </w:p>
    <w:p>
      <w:pPr>
        <w:pStyle w:val="0"/>
        <w:ind w:firstLine="540"/>
        <w:jc w:val="both"/>
      </w:pPr>
      <w:r>
        <w:rPr>
          <w:sz w:val="20"/>
        </w:rPr>
      </w:r>
    </w:p>
    <w:p>
      <w:pPr>
        <w:pStyle w:val="0"/>
        <w:ind w:firstLine="540"/>
        <w:jc w:val="both"/>
      </w:pPr>
      <w:r>
        <w:rPr>
          <w:sz w:val="20"/>
        </w:rPr>
        <w:t xml:space="preserve">2. Определить министерство жилищно-коммунального хозяйства Белгородской области (Ботвиньев А.Н.) органом, ответственным за разработку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2019 - 2048 годы.</w:t>
      </w:r>
    </w:p>
    <w:p>
      <w:pPr>
        <w:pStyle w:val="0"/>
        <w:jc w:val="both"/>
      </w:pPr>
      <w:r>
        <w:rPr>
          <w:sz w:val="20"/>
        </w:rPr>
        <w:t xml:space="preserve">(в ред. постановлений Правительства Белгородской области от 07.07.2015 </w:t>
      </w:r>
      <w:hyperlink w:history="0" r:id="rId21" w:tooltip="Постановление Правительства Белгородской обл. от 07.07.2015 N 256-пп &quot;О внесении изменений в некоторые постановления Правительства Белгородской области&quot; {КонсультантПлюс}">
        <w:r>
          <w:rPr>
            <w:sz w:val="20"/>
            <w:color w:val="0000ff"/>
          </w:rPr>
          <w:t xml:space="preserve">N 256-пп</w:t>
        </w:r>
      </w:hyperlink>
      <w:r>
        <w:rPr>
          <w:sz w:val="20"/>
        </w:rPr>
        <w:t xml:space="preserve">, от 14.09.2015 </w:t>
      </w:r>
      <w:hyperlink w:history="0" r:id="rId22" w:tooltip="Постановление Правительства Белгородской обл. от 14.09.2015 N 337-пп &quot;О внесении изменений в постановление Правительства Белгородской области от 17 марта 2014 года N 92-пп&quot; {КонсультантПлюс}">
        <w:r>
          <w:rPr>
            <w:sz w:val="20"/>
            <w:color w:val="0000ff"/>
          </w:rPr>
          <w:t xml:space="preserve">N 337-пп</w:t>
        </w:r>
      </w:hyperlink>
      <w:r>
        <w:rPr>
          <w:sz w:val="20"/>
        </w:rPr>
        <w:t xml:space="preserve">, от 28.05.2018 </w:t>
      </w:r>
      <w:hyperlink w:history="0" r:id="rId23" w:tooltip="Постановление Правительства Белгородской обл. от 28.05.2018 N 189-пп &quot;О внесении изменений в постановление Правительства Белгородской области от 17 марта 2014 года N 92-пп&quot; (вместе с &quot;Порядком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6 - 2045 годы&quot;) {КонсультантПлюс}">
        <w:r>
          <w:rPr>
            <w:sz w:val="20"/>
            <w:color w:val="0000ff"/>
          </w:rPr>
          <w:t xml:space="preserve">N 189-пп</w:t>
        </w:r>
      </w:hyperlink>
      <w:r>
        <w:rPr>
          <w:sz w:val="20"/>
        </w:rPr>
        <w:t xml:space="preserve">, от 06.07.2020 </w:t>
      </w:r>
      <w:hyperlink w:history="0" r:id="rId24" w:tooltip="Постановление Правительства Белгородской обл. от 06.07.2020 N 301-пп &quot;О внесении изменений в постановление Правительства Белгородской области от 17 марта 2014 года N 92-пп&quot; (вместе с &quot;Порядком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 2048 годы&quot;) {КонсультантПлюс}">
        <w:r>
          <w:rPr>
            <w:sz w:val="20"/>
            <w:color w:val="0000ff"/>
          </w:rPr>
          <w:t xml:space="preserve">N 301-пп</w:t>
        </w:r>
      </w:hyperlink>
      <w:r>
        <w:rPr>
          <w:sz w:val="20"/>
        </w:rPr>
        <w:t xml:space="preserve">, от 11.04.2022 </w:t>
      </w:r>
      <w:hyperlink w:history="0" r:id="rId25" w:tooltip="Постановление Правительства Белгородской обл. от 11.04.2022 N 222-пп &quot;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пп&quot; {КонсультантПлюс}">
        <w:r>
          <w:rPr>
            <w:sz w:val="20"/>
            <w:color w:val="0000ff"/>
          </w:rPr>
          <w:t xml:space="preserve">N 222-пп</w:t>
        </w:r>
      </w:hyperlink>
      <w:r>
        <w:rPr>
          <w:sz w:val="20"/>
        </w:rPr>
        <w:t xml:space="preserve">)</w:t>
      </w:r>
    </w:p>
    <w:p>
      <w:pPr>
        <w:pStyle w:val="0"/>
        <w:ind w:firstLine="540"/>
        <w:jc w:val="both"/>
      </w:pPr>
      <w:r>
        <w:rPr>
          <w:sz w:val="20"/>
        </w:rPr>
      </w:r>
    </w:p>
    <w:p>
      <w:pPr>
        <w:pStyle w:val="0"/>
        <w:ind w:firstLine="540"/>
        <w:jc w:val="both"/>
      </w:pPr>
      <w:r>
        <w:rPr>
          <w:sz w:val="20"/>
        </w:rPr>
        <w:t xml:space="preserve">3. Контроль за исполнением постановления возложить на заместителя Губернатора Белгородской области Полежаева К.А.</w:t>
      </w:r>
    </w:p>
    <w:p>
      <w:pPr>
        <w:pStyle w:val="0"/>
        <w:jc w:val="both"/>
      </w:pPr>
      <w:r>
        <w:rPr>
          <w:sz w:val="20"/>
        </w:rPr>
        <w:t xml:space="preserve">(п. 3 в ред. </w:t>
      </w:r>
      <w:hyperlink w:history="0" r:id="rId26" w:tooltip="Постановление Правительства Белгородской обл. от 11.04.2022 N 222-пп &quot;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пп&quot; {КонсультантПлюс}">
        <w:r>
          <w:rPr>
            <w:sz w:val="20"/>
            <w:color w:val="0000ff"/>
          </w:rPr>
          <w:t xml:space="preserve">постановления</w:t>
        </w:r>
      </w:hyperlink>
      <w:r>
        <w:rPr>
          <w:sz w:val="20"/>
        </w:rPr>
        <w:t xml:space="preserve"> Правительства Белгородской области от 11.04.2022 N 222-пп)</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Е.САВЧЕНКО</w:t>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outlineLvl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17 марта 2014 г. N 92-пп</w:t>
      </w:r>
    </w:p>
    <w:p>
      <w:pPr>
        <w:pStyle w:val="0"/>
        <w:ind w:firstLine="540"/>
        <w:jc w:val="both"/>
      </w:pPr>
      <w:r>
        <w:rPr>
          <w:sz w:val="20"/>
        </w:rPr>
      </w:r>
    </w:p>
    <w:bookmarkStart w:id="39" w:name="P39"/>
    <w:bookmarkEnd w:id="39"/>
    <w:p>
      <w:pPr>
        <w:pStyle w:val="2"/>
        <w:jc w:val="center"/>
      </w:pPr>
      <w:r>
        <w:rPr>
          <w:sz w:val="20"/>
        </w:rPr>
        <w:t xml:space="preserve">ПОРЯДОК</w:t>
      </w:r>
    </w:p>
    <w:p>
      <w:pPr>
        <w:pStyle w:val="2"/>
        <w:jc w:val="center"/>
      </w:pPr>
      <w:r>
        <w:rPr>
          <w:sz w:val="20"/>
        </w:rPr>
        <w:t xml:space="preserve">РАЗРАБОТКИ КРАТКОСРОЧНЫХ ПЛАНОВ РЕАЛИЗАЦИИ АДРЕСНОЙ</w:t>
      </w:r>
    </w:p>
    <w:p>
      <w:pPr>
        <w:pStyle w:val="2"/>
        <w:jc w:val="center"/>
      </w:pPr>
      <w:r>
        <w:rPr>
          <w:sz w:val="20"/>
        </w:rPr>
        <w:t xml:space="preserve">ПРОГРАММЫ ПРОВЕДЕНИЯ КАПИТАЛЬНОГО РЕМОНТА ОБЩЕГО ИМУЩЕСТВА</w:t>
      </w:r>
    </w:p>
    <w:p>
      <w:pPr>
        <w:pStyle w:val="2"/>
        <w:jc w:val="center"/>
      </w:pPr>
      <w:r>
        <w:rPr>
          <w:sz w:val="20"/>
        </w:rPr>
        <w:t xml:space="preserve">В МНОГОКВАРТИРНЫХ ДОМАХ В БЕЛГОРОДСКОЙ ОБЛАСТИ</w:t>
      </w:r>
    </w:p>
    <w:p>
      <w:pPr>
        <w:pStyle w:val="2"/>
        <w:jc w:val="center"/>
      </w:pPr>
      <w:r>
        <w:rPr>
          <w:sz w:val="20"/>
        </w:rPr>
        <w:t xml:space="preserve">НА 2019 - 2048 ГОДЫ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06.07.2020 </w:t>
            </w:r>
            <w:hyperlink w:history="0" r:id="rId27" w:tooltip="Постановление Правительства Белгородской обл. от 06.07.2020 N 301-пп &quot;О внесении изменений в постановление Правительства Белгородской области от 17 марта 2014 года N 92-пп&quot; (вместе с &quot;Порядком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 2048 годы&quot;) {КонсультантПлюс}">
              <w:r>
                <w:rPr>
                  <w:sz w:val="20"/>
                  <w:color w:val="0000ff"/>
                </w:rPr>
                <w:t xml:space="preserve">N 301-пп</w:t>
              </w:r>
            </w:hyperlink>
            <w:r>
              <w:rPr>
                <w:sz w:val="20"/>
                <w:color w:val="392c69"/>
              </w:rPr>
              <w:t xml:space="preserve">, от 11.04.2022 </w:t>
            </w:r>
            <w:hyperlink w:history="0" r:id="rId28" w:tooltip="Постановление Правительства Белгородской обл. от 11.04.2022 N 222-пп &quot;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пп&quot; {КонсультантПлюс}">
              <w:r>
                <w:rPr>
                  <w:sz w:val="20"/>
                  <w:color w:val="0000ff"/>
                </w:rPr>
                <w:t xml:space="preserve">N 222-пп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Порядок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2019 - 2048 годы (далее - Порядок, краткосрочные планы соответственно) разработан в соответствии с </w:t>
      </w:r>
      <w:hyperlink w:history="0" r:id="rId29" w:tooltip="&quot;Жилищный кодекс Российской Федерации&quot; от 29.12.2004 N 188-ФЗ (ред. от 28.04.2023) {КонсультантПлюс}">
        <w:r>
          <w:rPr>
            <w:sz w:val="20"/>
            <w:color w:val="0000ff"/>
          </w:rPr>
          <w:t xml:space="preserve">частью 7 статьи 168</w:t>
        </w:r>
      </w:hyperlink>
      <w:r>
        <w:rPr>
          <w:sz w:val="20"/>
        </w:rPr>
        <w:t xml:space="preserve"> Жилищного кодекса Российской Федерации, в целях обеспечения реализации адресной программы проведения капитального ремонта общего имущества в многоквартирных домах в Белгородской области (далее - адресная программа), конкретизации сроков проведения капитального ремонта общего имущества в многоквартирных домах, уточнения планируемых видов услуг и (или) работ по капитальному ремонту общего имущества в многоквартирных домах, определения видов и объема государственной поддержки, муниципальной поддержки проведения капитального ремонта.</w:t>
      </w:r>
    </w:p>
    <w:p>
      <w:pPr>
        <w:pStyle w:val="0"/>
        <w:spacing w:before="200" w:line-rule="auto"/>
        <w:ind w:firstLine="540"/>
        <w:jc w:val="both"/>
      </w:pPr>
      <w:r>
        <w:rPr>
          <w:sz w:val="20"/>
        </w:rPr>
        <w:t xml:space="preserve">2. При формировании муниципальных краткосрочных планов органы местного самоуправления муниципальных районов и городских округов руководствуются:</w:t>
      </w:r>
    </w:p>
    <w:p>
      <w:pPr>
        <w:pStyle w:val="0"/>
        <w:spacing w:before="200" w:line-rule="auto"/>
        <w:ind w:firstLine="540"/>
        <w:jc w:val="both"/>
      </w:pPr>
      <w:r>
        <w:rPr>
          <w:sz w:val="20"/>
        </w:rPr>
        <w:t xml:space="preserve">- очередностью проведения капитального ремонта общего имущества многоквартирных домов в рамках текущего трехлетнего периода, определенного в адресной программе;</w:t>
      </w:r>
    </w:p>
    <w:p>
      <w:pPr>
        <w:pStyle w:val="0"/>
        <w:spacing w:before="200" w:line-rule="auto"/>
        <w:ind w:firstLine="540"/>
        <w:jc w:val="both"/>
      </w:pPr>
      <w:r>
        <w:rPr>
          <w:sz w:val="20"/>
        </w:rPr>
        <w:t xml:space="preserve">- результатами мониторинга технического состояния многоквартирных домов;</w:t>
      </w:r>
    </w:p>
    <w:p>
      <w:pPr>
        <w:pStyle w:val="0"/>
        <w:spacing w:before="200" w:line-rule="auto"/>
        <w:ind w:firstLine="540"/>
        <w:jc w:val="both"/>
      </w:pPr>
      <w:r>
        <w:rPr>
          <w:sz w:val="20"/>
        </w:rPr>
        <w:t xml:space="preserve">- прогнозируемыми объемами поступлений взносов на капитальный ремонт от собственников помещений в многоквартирных домах, формирующих фонд капитального ремонта на счете, счетах регионального оператора по соответствующему муниципальному образованию на очередной трехлетний период;</w:t>
      </w:r>
    </w:p>
    <w:p>
      <w:pPr>
        <w:pStyle w:val="0"/>
        <w:spacing w:before="200" w:line-rule="auto"/>
        <w:ind w:firstLine="540"/>
        <w:jc w:val="both"/>
      </w:pPr>
      <w:r>
        <w:rPr>
          <w:sz w:val="20"/>
        </w:rPr>
        <w:t xml:space="preserve">- результатами работы комиссии по установлению необходимости проведения капитального ремонта общего имущества в многоквартирных домах Белгородской области.</w:t>
      </w:r>
    </w:p>
    <w:p>
      <w:pPr>
        <w:pStyle w:val="0"/>
        <w:spacing w:before="200" w:line-rule="auto"/>
        <w:ind w:firstLine="540"/>
        <w:jc w:val="both"/>
      </w:pPr>
      <w:r>
        <w:rPr>
          <w:sz w:val="20"/>
        </w:rPr>
        <w:t xml:space="preserve">3. В целях разработки муниципальных краткосрочных планов администрации муниципальных районов и городских округов:</w:t>
      </w:r>
    </w:p>
    <w:p>
      <w:pPr>
        <w:pStyle w:val="0"/>
        <w:spacing w:before="200" w:line-rule="auto"/>
        <w:ind w:firstLine="540"/>
        <w:jc w:val="both"/>
      </w:pPr>
      <w:r>
        <w:rPr>
          <w:sz w:val="20"/>
        </w:rPr>
        <w:t xml:space="preserve">3.1. В срок до 1 февраля года, предшествующего первому году очередного трехлетнего периода, проводят мониторинг технического состояния многоквартирных домов, включенных в соответствии с утвержденной адресной программой в очередной трехлетний период.</w:t>
      </w:r>
    </w:p>
    <w:p>
      <w:pPr>
        <w:pStyle w:val="0"/>
        <w:spacing w:before="200" w:line-rule="auto"/>
        <w:ind w:firstLine="540"/>
        <w:jc w:val="both"/>
      </w:pPr>
      <w:r>
        <w:rPr>
          <w:sz w:val="20"/>
        </w:rPr>
        <w:t xml:space="preserve">3.2. В срок до 1 марта года, предшествующего первому году очередного трехлетнего периода, запрашивают у регионального оператора прогнозируемые объемы поступлений взносов на капитальный ремонт от собственников помещений в многоквартирных домах, формирующих фонд капитального ремонта на счете, счетах регионального оператора по соответствующему муниципальному образованию на очередной трехлетний период, а также лимиты финансирования услуг и (или) работ по капитальному ремонту в разрезе каждого многоквартирного дома, включенного в соответствии с утвержденной адресной программой в очередной трехлетний период, рассчитанные в соответствии с </w:t>
      </w:r>
      <w:hyperlink w:history="0" w:anchor="P73" w:tooltip="5. Лимит финансирования услуг и (или) работ по капитальному ремонту в многоквартирном доме определяется как разность между суммарными начислениями взносов на капитальный ремонт в течение 30 лет с момента включения многоквартирного дома в адресную программу и стоимостью выполненных услуг и (или) работ по капитальному ремонту в рамках реализации адресной программы за аналогичный период. Суммарные начисления взносов на капитальный ремонт складываются из суммы, фактически начисленной на момент направления пр...">
        <w:r>
          <w:rPr>
            <w:sz w:val="20"/>
            <w:color w:val="0000ff"/>
          </w:rPr>
          <w:t xml:space="preserve">пунктом 5</w:t>
        </w:r>
      </w:hyperlink>
      <w:r>
        <w:rPr>
          <w:sz w:val="20"/>
        </w:rPr>
        <w:t xml:space="preserve"> Порядка.</w:t>
      </w:r>
    </w:p>
    <w:p>
      <w:pPr>
        <w:pStyle w:val="0"/>
        <w:spacing w:before="200" w:line-rule="auto"/>
        <w:ind w:firstLine="540"/>
        <w:jc w:val="both"/>
      </w:pPr>
      <w:r>
        <w:rPr>
          <w:sz w:val="20"/>
        </w:rPr>
        <w:t xml:space="preserve">3.3. В срок до 1 апреля года, предшествующего первому году очередного трехлетнего периода, формируют проекты муниципальных краткосрочных </w:t>
      </w:r>
      <w:hyperlink w:history="0" w:anchor="P133" w:tooltip="План реализации в ________ годах адресной программы">
        <w:r>
          <w:rPr>
            <w:sz w:val="20"/>
            <w:color w:val="0000ff"/>
          </w:rPr>
          <w:t xml:space="preserve">планов</w:t>
        </w:r>
      </w:hyperlink>
      <w:r>
        <w:rPr>
          <w:sz w:val="20"/>
        </w:rPr>
        <w:t xml:space="preserve"> на очередной трехлетний период в соответствии с приложением N 1 к Порядку.</w:t>
      </w:r>
    </w:p>
    <w:p>
      <w:pPr>
        <w:pStyle w:val="0"/>
        <w:spacing w:before="200" w:line-rule="auto"/>
        <w:ind w:firstLine="540"/>
        <w:jc w:val="both"/>
      </w:pPr>
      <w:r>
        <w:rPr>
          <w:sz w:val="20"/>
        </w:rPr>
        <w:t xml:space="preserve">3.4. При формировании проектов муниципальных краткосрочных планов суммарная стоимость выполнения услуг и (или) работ по капитальному ремонту за счет средств собственников в рамках муниципального образования не должна превышать сумму доведенного лимита денежных средств на очередной трехлетний период по каждому календарному году трехлетнего периода.</w:t>
      </w:r>
    </w:p>
    <w:p>
      <w:pPr>
        <w:pStyle w:val="0"/>
        <w:spacing w:before="200" w:line-rule="auto"/>
        <w:ind w:firstLine="540"/>
        <w:jc w:val="both"/>
      </w:pPr>
      <w:r>
        <w:rPr>
          <w:sz w:val="20"/>
        </w:rPr>
        <w:t xml:space="preserve">3.5. При формировании проектов муниципальных краткосрочных планов стоимость выполнения услуг и (или) работ по капитальному ремонту отдельного многоквартирного дома за счет средств собственников не должна превышать лимит финансирования услуг и (или) работ по капитальному ремонту, рассчитанный в соответствии с </w:t>
      </w:r>
      <w:hyperlink w:history="0" w:anchor="P73" w:tooltip="5. Лимит финансирования услуг и (или) работ по капитальному ремонту в многоквартирном доме определяется как разность между суммарными начислениями взносов на капитальный ремонт в течение 30 лет с момента включения многоквартирного дома в адресную программу и стоимостью выполненных услуг и (или) работ по капитальному ремонту в рамках реализации адресной программы за аналогичный период. Суммарные начисления взносов на капитальный ремонт складываются из суммы, фактически начисленной на момент направления пр...">
        <w:r>
          <w:rPr>
            <w:sz w:val="20"/>
            <w:color w:val="0000ff"/>
          </w:rPr>
          <w:t xml:space="preserve">пунктом 5</w:t>
        </w:r>
      </w:hyperlink>
      <w:r>
        <w:rPr>
          <w:sz w:val="20"/>
        </w:rPr>
        <w:t xml:space="preserve"> Порядка, а также предельную стоимость выполнения услуг и (или) работ по капитальному ремонту, утвержденную Правительством Белгородской области на год, в котором запланировано проведение капитального ремонта дома, за исключением случаев принятия собственниками помещений на общем собрании решения о повышении минимального размера взноса на капитальный ремонт.</w:t>
      </w:r>
    </w:p>
    <w:p>
      <w:pPr>
        <w:pStyle w:val="0"/>
        <w:spacing w:before="200" w:line-rule="auto"/>
        <w:ind w:firstLine="540"/>
        <w:jc w:val="both"/>
      </w:pPr>
      <w:r>
        <w:rPr>
          <w:sz w:val="20"/>
        </w:rPr>
        <w:t xml:space="preserve">3.6. В срок до 10 апреля года, предшествующего первому году очередного трехлетнего периода, направляют в адрес регионального оператора на согласование сформированные проекты муниципальных краткосрочных планов на очередной трехлетний период.</w:t>
      </w:r>
    </w:p>
    <w:p>
      <w:pPr>
        <w:pStyle w:val="0"/>
        <w:spacing w:before="200" w:line-rule="auto"/>
        <w:ind w:firstLine="540"/>
        <w:jc w:val="both"/>
      </w:pPr>
      <w:r>
        <w:rPr>
          <w:sz w:val="20"/>
        </w:rPr>
        <w:t xml:space="preserve">Региональный оператор в течение 10 (десяти) рабочих дней со дня получения проектов муниципальных краткосрочных планов рассматривает их и в случае наличия замечаний возвращает органам местного самоуправления муниципальных районов и городских округов на доработку.</w:t>
      </w:r>
    </w:p>
    <w:p>
      <w:pPr>
        <w:pStyle w:val="0"/>
        <w:spacing w:before="200" w:line-rule="auto"/>
        <w:ind w:firstLine="540"/>
        <w:jc w:val="both"/>
      </w:pPr>
      <w:r>
        <w:rPr>
          <w:sz w:val="20"/>
        </w:rPr>
        <w:t xml:space="preserve">3.7. В срок до 1 мая года, предшествующего первому году очередного трехлетнего периода, утверждают и направляют в адрес регионального оператора утвержденные муниципальные краткосрочные </w:t>
      </w:r>
      <w:hyperlink w:history="0" w:anchor="P133" w:tooltip="План реализации в ________ годах адресной программы">
        <w:r>
          <w:rPr>
            <w:sz w:val="20"/>
            <w:color w:val="0000ff"/>
          </w:rPr>
          <w:t xml:space="preserve">планы</w:t>
        </w:r>
      </w:hyperlink>
      <w:r>
        <w:rPr>
          <w:sz w:val="20"/>
        </w:rPr>
        <w:t xml:space="preserve"> на очередной трехлетний период в соответствии с приложением N 1 к Порядку.</w:t>
      </w:r>
    </w:p>
    <w:p>
      <w:pPr>
        <w:pStyle w:val="0"/>
        <w:spacing w:before="200" w:line-rule="auto"/>
        <w:ind w:firstLine="540"/>
        <w:jc w:val="both"/>
      </w:pPr>
      <w:r>
        <w:rPr>
          <w:sz w:val="20"/>
        </w:rPr>
        <w:t xml:space="preserve">3.8. В целях актуализации муниципальных краткосрочных планов на следующий год ежегодно в срок до 1 апреля запрашивают у регионального оператора прогнозируемые объемы поступлений взносов на капитальный ремонт от собственников помещений в многоквартирных домах, формирующих фонд капитального ремонта на счете, счетах регионального оператора по соответствующему муниципальному образованию.</w:t>
      </w:r>
    </w:p>
    <w:bookmarkStart w:id="64" w:name="P64"/>
    <w:bookmarkEnd w:id="64"/>
    <w:p>
      <w:pPr>
        <w:pStyle w:val="0"/>
        <w:spacing w:before="200" w:line-rule="auto"/>
        <w:ind w:firstLine="540"/>
        <w:jc w:val="both"/>
      </w:pPr>
      <w:r>
        <w:rPr>
          <w:sz w:val="20"/>
        </w:rPr>
        <w:t xml:space="preserve">4. Для обеспечения реализации прав собственников помещений в многоквартирных домах не менее чем за один месяц до наступления года, в течение которого должен быть проведен капитальный ремонт общего имущества в многоквартирном доме, лицо, осуществляющее управление многоквартирным домом или оказание услуг и (или) выполнение работ по содержанию и ремонту общего имущества в многоквартирном доме, либо региональный оператор (в случае, если собственники помещений в многоквартирном доме формируют фонд капитального ремонта на счете регионального оператора) представляет таким собственникам предложения о проведении капитального ремонта.</w:t>
      </w:r>
    </w:p>
    <w:p>
      <w:pPr>
        <w:pStyle w:val="0"/>
        <w:spacing w:before="200" w:line-rule="auto"/>
        <w:ind w:firstLine="540"/>
        <w:jc w:val="both"/>
      </w:pPr>
      <w:r>
        <w:rPr>
          <w:sz w:val="20"/>
        </w:rPr>
        <w:t xml:space="preserve">4.1. В предложении о проведении капитального ремонта должны быть указаны:</w:t>
      </w:r>
    </w:p>
    <w:p>
      <w:pPr>
        <w:pStyle w:val="0"/>
        <w:spacing w:before="200" w:line-rule="auto"/>
        <w:ind w:firstLine="540"/>
        <w:jc w:val="both"/>
      </w:pPr>
      <w:r>
        <w:rPr>
          <w:sz w:val="20"/>
        </w:rPr>
        <w:t xml:space="preserve">- срок начала капитального ремонта;</w:t>
      </w:r>
    </w:p>
    <w:p>
      <w:pPr>
        <w:pStyle w:val="0"/>
        <w:spacing w:before="200" w:line-rule="auto"/>
        <w:ind w:firstLine="540"/>
        <w:jc w:val="both"/>
      </w:pPr>
      <w:r>
        <w:rPr>
          <w:sz w:val="20"/>
        </w:rPr>
        <w:t xml:space="preserve">- перечень и объем услуг и (или) работ по капитальному ремонту, выполнение которых возможно за счет средств собственников, уплачиваемых в виде минимального размера взноса на капитальный ремонт;</w:t>
      </w:r>
    </w:p>
    <w:p>
      <w:pPr>
        <w:pStyle w:val="0"/>
        <w:spacing w:before="200" w:line-rule="auto"/>
        <w:ind w:firstLine="540"/>
        <w:jc w:val="both"/>
      </w:pPr>
      <w:r>
        <w:rPr>
          <w:sz w:val="20"/>
        </w:rPr>
        <w:t xml:space="preserve">- лимит денежных средств на выполнение услуг и (или) работ по капитальному ремонту;</w:t>
      </w:r>
    </w:p>
    <w:p>
      <w:pPr>
        <w:pStyle w:val="0"/>
        <w:spacing w:before="200" w:line-rule="auto"/>
        <w:ind w:firstLine="540"/>
        <w:jc w:val="both"/>
      </w:pPr>
      <w:r>
        <w:rPr>
          <w:sz w:val="20"/>
        </w:rPr>
        <w:t xml:space="preserve">- порядок и источники финансирования капитального ремонта общего имущества в многоквартирном доме;</w:t>
      </w:r>
    </w:p>
    <w:p>
      <w:pPr>
        <w:pStyle w:val="0"/>
        <w:spacing w:before="200" w:line-rule="auto"/>
        <w:ind w:firstLine="540"/>
        <w:jc w:val="both"/>
      </w:pPr>
      <w:r>
        <w:rPr>
          <w:sz w:val="20"/>
        </w:rPr>
        <w:t xml:space="preserve">- другие предложения, связанные с проведением такого капитального ремонта.</w:t>
      </w:r>
    </w:p>
    <w:p>
      <w:pPr>
        <w:pStyle w:val="0"/>
        <w:spacing w:before="200" w:line-rule="auto"/>
        <w:ind w:firstLine="540"/>
        <w:jc w:val="both"/>
      </w:pPr>
      <w:r>
        <w:rPr>
          <w:sz w:val="20"/>
        </w:rPr>
        <w:t xml:space="preserve">4.2. В случае если собственники помещений в многоквартирном доме формируют фонд капитального ремонта на счете регионального оператора, предложения собственникам помещений в многоквартирном доме в срок не позднее 1 ноября года, предшествующего году, в котором планируется проведение капитального ремонта, направляются региональным оператором в администрации муниципальных районов и городских округов, а также публикуются на официальном сайте регионального оператора в сети Интернет.</w:t>
      </w:r>
    </w:p>
    <w:p>
      <w:pPr>
        <w:pStyle w:val="0"/>
        <w:spacing w:before="200" w:line-rule="auto"/>
        <w:ind w:firstLine="540"/>
        <w:jc w:val="both"/>
      </w:pPr>
      <w:r>
        <w:rPr>
          <w:sz w:val="20"/>
        </w:rPr>
        <w:t xml:space="preserve">Администрации муниципальных районов и городских округов в течение 10 (десяти) рабочих дней со дня получения указанных в настоящем пункте предложений направляют их организациям, осуществляющим управление многоквартирными домами, и уполномоченным представителям собственников помещений в многоквартирных домах.</w:t>
      </w:r>
    </w:p>
    <w:bookmarkStart w:id="73" w:name="P73"/>
    <w:bookmarkEnd w:id="73"/>
    <w:p>
      <w:pPr>
        <w:pStyle w:val="0"/>
        <w:spacing w:before="200" w:line-rule="auto"/>
        <w:ind w:firstLine="540"/>
        <w:jc w:val="both"/>
      </w:pPr>
      <w:r>
        <w:rPr>
          <w:sz w:val="20"/>
        </w:rPr>
        <w:t xml:space="preserve">5. Лимит финансирования услуг и (или) работ по капитальному ремонту в многоквартирном доме определяется как разность между суммарными начислениями взносов на капитальный ремонт в течение 30 лет с момента включения многоквартирного дома в адресную программу и стоимостью выполненных услуг и (или) работ по капитальному ремонту в рамках реализации адресной программы за аналогичный период. Суммарные начисления взносов на капитальный ремонт складываются из суммы, фактически начисленной на момент направления предложения о проведении капитального ремонта, и прогнозируемых начислений, сформированных с учетом утвержденного тарифа, действующего на момент направления предложения.</w:t>
      </w:r>
    </w:p>
    <w:p>
      <w:pPr>
        <w:pStyle w:val="0"/>
        <w:spacing w:before="200" w:line-rule="auto"/>
        <w:ind w:firstLine="540"/>
        <w:jc w:val="both"/>
      </w:pPr>
      <w:r>
        <w:rPr>
          <w:sz w:val="20"/>
        </w:rPr>
        <w:t xml:space="preserve">6. При принятии собственниками помещений в многоквартирных домах решения о проведении капитального ремонта в обязательном порядке необходимо обеспечить выполнение услуг и (или) работ по капитальному ремонту, предусмотренных </w:t>
      </w:r>
      <w:hyperlink w:history="0" r:id="rId30" w:tooltip="&quot;Жилищный кодекс Российской Федерации&quot; от 29.12.2004 N 188-ФЗ (ред. от 28.04.2023) {КонсультантПлюс}">
        <w:r>
          <w:rPr>
            <w:sz w:val="20"/>
            <w:color w:val="0000ff"/>
          </w:rPr>
          <w:t xml:space="preserve">частью 1 статьи 166</w:t>
        </w:r>
      </w:hyperlink>
      <w:r>
        <w:rPr>
          <w:sz w:val="20"/>
        </w:rPr>
        <w:t xml:space="preserve"> Жилищного кодекса Российской Федерации (ремонт внутридомовых инженерных систем электро-, тепло-, газо-, водоснабжения, водоотведения, ремонт, замена, модернизация лифтов, ремонт крыши, ремонт подвальных помещений, относящихся к общему имуществу в многоквартирном доме, ремонт фасада, ремонт фундамента многоквартирного дома).</w:t>
      </w:r>
    </w:p>
    <w:p>
      <w:pPr>
        <w:pStyle w:val="0"/>
        <w:spacing w:before="200" w:line-rule="auto"/>
        <w:ind w:firstLine="540"/>
        <w:jc w:val="both"/>
      </w:pPr>
      <w:r>
        <w:rPr>
          <w:sz w:val="20"/>
        </w:rPr>
        <w:t xml:space="preserve">7. Выполнение дополнительных видов услуг и (или) работ по капитальному ремонту, предусмотренных </w:t>
      </w:r>
      <w:hyperlink w:history="0" r:id="rId31" w:tooltip="Закон Белгородской области от 31.01.2013 N 173 (ред. от 25.04.2022) &quot;О создании системы финансирования капитального ремонта общего имущества в многоквартирных домах Белгородской области&quot; (принят Белгородской областной Думой 24.01.2013) {КонсультантПлюс}">
        <w:r>
          <w:rPr>
            <w:sz w:val="20"/>
            <w:color w:val="0000ff"/>
          </w:rPr>
          <w:t xml:space="preserve">статьей 5</w:t>
        </w:r>
      </w:hyperlink>
      <w:r>
        <w:rPr>
          <w:sz w:val="20"/>
        </w:rPr>
        <w:t xml:space="preserve"> закона Белгородской области от 31 января 2013 года N 173 "О создании системы финансирования капитального ремонта общего имущества в многоквартирных домах Белгородской области" (установка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электрической энергии, газа), установка пандусов для перемещения инвалидных колясок, утепление фасада), финансируется за счет средств фонда капитального ремонта, сформированного исходя из минимального размера взноса на капитальный ремонт, установленного Правительством Белгородской области, на сумму остатка лимита финансирования услуг и (или) работ по капитальному ремонту в многоквартирном доме после обеспечения выполнения работ, предусмотренных </w:t>
      </w:r>
      <w:hyperlink w:history="0" r:id="rId32" w:tooltip="&quot;Жилищный кодекс Российской Федерации&quot; от 29.12.2004 N 188-ФЗ (ред. от 28.04.2023) {КонсультантПлюс}">
        <w:r>
          <w:rPr>
            <w:sz w:val="20"/>
            <w:color w:val="0000ff"/>
          </w:rPr>
          <w:t xml:space="preserve">частью 1 статьи 166</w:t>
        </w:r>
      </w:hyperlink>
      <w:r>
        <w:rPr>
          <w:sz w:val="20"/>
        </w:rPr>
        <w:t xml:space="preserve"> Жилищного кодекса Российской Федерации.</w:t>
      </w:r>
    </w:p>
    <w:p>
      <w:pPr>
        <w:pStyle w:val="0"/>
        <w:spacing w:before="200" w:line-rule="auto"/>
        <w:ind w:firstLine="540"/>
        <w:jc w:val="both"/>
      </w:pPr>
      <w:r>
        <w:rPr>
          <w:sz w:val="20"/>
        </w:rPr>
        <w:t xml:space="preserve">7.1. В соответствии со </w:t>
      </w:r>
      <w:hyperlink w:history="0" r:id="rId33" w:tooltip="Закон Белгородской области от 31.01.2013 N 173 (ред. от 25.04.2022) &quot;О создании системы финансирования капитального ремонта общего имущества в многоквартирных домах Белгородской области&quot; (принят Белгородской областной Думой 24.01.2013) {КонсультантПлюс}">
        <w:r>
          <w:rPr>
            <w:sz w:val="20"/>
            <w:color w:val="0000ff"/>
          </w:rPr>
          <w:t xml:space="preserve">статьей 5</w:t>
        </w:r>
      </w:hyperlink>
      <w:r>
        <w:rPr>
          <w:sz w:val="20"/>
        </w:rPr>
        <w:t xml:space="preserve"> закона Белгородской области от 31 января 2013 года N 173 "О создании системы финансирования капитального ремонта общего имущества в многоквартирных домах Белгородской области" работы по утеплению фасада финансируются за счет средств фонда капитального ремонта, сформированного исходя из минимального размера взноса на капитальный ремонт, установленного Правительством Белгородской области, в случае если необходимость утепления подтверждается энергетическим обследованием многоквартирного дома, проведенным в соответствии с законодательством об энергосбережении и повышении энергетической эффективности.</w:t>
      </w:r>
    </w:p>
    <w:p>
      <w:pPr>
        <w:pStyle w:val="0"/>
        <w:spacing w:before="200" w:line-rule="auto"/>
        <w:ind w:firstLine="540"/>
        <w:jc w:val="both"/>
      </w:pPr>
      <w:r>
        <w:rPr>
          <w:sz w:val="20"/>
        </w:rPr>
        <w:t xml:space="preserve">7.2. В случае принятия собственниками помещений на общем собрании решения об установлении взноса на капитальный ремонт в размере, превышающем минимальный размер взноса на капитальный ремонт, расчет повышения размера взноса на капитальный ремонт производится исходя из срока возврата затраченной суммы не более 7 лет с момента подписания акта приемки выполненных работ.</w:t>
      </w:r>
    </w:p>
    <w:bookmarkStart w:id="78" w:name="P78"/>
    <w:bookmarkEnd w:id="78"/>
    <w:p>
      <w:pPr>
        <w:pStyle w:val="0"/>
        <w:spacing w:before="200" w:line-rule="auto"/>
        <w:ind w:firstLine="540"/>
        <w:jc w:val="both"/>
      </w:pPr>
      <w:r>
        <w:rPr>
          <w:sz w:val="20"/>
        </w:rPr>
        <w:t xml:space="preserve">8. Собственники помещений в многоквартирном доме в течение трех месяцев с момента получения предложений, указанных в </w:t>
      </w:r>
      <w:hyperlink w:history="0" w:anchor="P64" w:tooltip="4. Для обеспечения реализации прав собственников помещений в многоквартирных домах не менее чем за один месяц до наступления года, в течение которого должен быть проведен капитальный ремонт общего имущества в многоквартирном доме, лицо, осуществляющее управление многоквартирным домом или оказание услуг и (или) выполнение работ по содержанию и ремонту общего имущества в многоквартирном доме, либо региональный оператор (в случае, если собственники помещений в многоквартирном доме формируют фонд капитальног...">
        <w:r>
          <w:rPr>
            <w:sz w:val="20"/>
            <w:color w:val="0000ff"/>
          </w:rPr>
          <w:t xml:space="preserve">пункте 4</w:t>
        </w:r>
      </w:hyperlink>
      <w:r>
        <w:rPr>
          <w:sz w:val="20"/>
        </w:rPr>
        <w:t xml:space="preserve"> Порядка, обязаны рассмотреть указанные предложения и принять на общем собрании решение в соответствии с подпунктом 8.1 пункта 8 Порядка.</w:t>
      </w:r>
    </w:p>
    <w:p>
      <w:pPr>
        <w:pStyle w:val="0"/>
        <w:spacing w:before="200" w:line-rule="auto"/>
        <w:ind w:firstLine="540"/>
        <w:jc w:val="both"/>
      </w:pPr>
      <w:r>
        <w:rPr>
          <w:sz w:val="20"/>
        </w:rPr>
        <w:t xml:space="preserve">8.1. В случае формирования фонда капитального ремонта на счете регионального оператора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pPr>
        <w:pStyle w:val="0"/>
        <w:spacing w:before="200" w:line-rule="auto"/>
        <w:ind w:firstLine="540"/>
        <w:jc w:val="both"/>
      </w:pPr>
      <w:r>
        <w:rPr>
          <w:sz w:val="20"/>
        </w:rPr>
        <w:t xml:space="preserve">1) перечень услуг и (или) работ по капитальному ремонту;</w:t>
      </w:r>
    </w:p>
    <w:p>
      <w:pPr>
        <w:pStyle w:val="0"/>
        <w:spacing w:before="200" w:line-rule="auto"/>
        <w:ind w:firstLine="540"/>
        <w:jc w:val="both"/>
      </w:pPr>
      <w:r>
        <w:rPr>
          <w:sz w:val="20"/>
        </w:rPr>
        <w:t xml:space="preserve">2) предельно допустимая стоимость услуг и (или) работ по капитальному ремонту исходя из предельной стоимости услуг и (или) работ по капитальному ремонту общего имущества в многоквартирном доме, утвержденной постановлением Правительства Белгородской области на год планируемого проведения капитального ремонта общего имущества многоквартирного дома;</w:t>
      </w:r>
    </w:p>
    <w:p>
      <w:pPr>
        <w:pStyle w:val="0"/>
        <w:spacing w:before="200" w:line-rule="auto"/>
        <w:ind w:firstLine="540"/>
        <w:jc w:val="both"/>
      </w:pPr>
      <w:r>
        <w:rPr>
          <w:sz w:val="20"/>
        </w:rPr>
        <w:t xml:space="preserve">3)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pPr>
        <w:pStyle w:val="0"/>
        <w:spacing w:before="200" w:line-rule="auto"/>
        <w:ind w:firstLine="540"/>
        <w:jc w:val="both"/>
      </w:pPr>
      <w:r>
        <w:rPr>
          <w:sz w:val="20"/>
        </w:rPr>
        <w:t xml:space="preserve">8.2. В случае формирования фонда капитального ремонта на специальном счете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pPr>
        <w:pStyle w:val="0"/>
        <w:spacing w:before="200" w:line-rule="auto"/>
        <w:ind w:firstLine="540"/>
        <w:jc w:val="both"/>
      </w:pPr>
      <w:r>
        <w:rPr>
          <w:sz w:val="20"/>
        </w:rPr>
        <w:t xml:space="preserve">1) перечень услуг и (или) работ по капитальному ремонту;</w:t>
      </w:r>
    </w:p>
    <w:p>
      <w:pPr>
        <w:pStyle w:val="0"/>
        <w:spacing w:before="200" w:line-rule="auto"/>
        <w:ind w:firstLine="540"/>
        <w:jc w:val="both"/>
      </w:pPr>
      <w:r>
        <w:rPr>
          <w:sz w:val="20"/>
        </w:rPr>
        <w:t xml:space="preserve">2) предельно допустимая стоимость услуг и (или) работ по капитальному ремонту;</w:t>
      </w:r>
    </w:p>
    <w:p>
      <w:pPr>
        <w:pStyle w:val="0"/>
        <w:spacing w:before="200" w:line-rule="auto"/>
        <w:ind w:firstLine="540"/>
        <w:jc w:val="both"/>
      </w:pPr>
      <w:r>
        <w:rPr>
          <w:sz w:val="20"/>
        </w:rPr>
        <w:t xml:space="preserve">3) сроки проведения капитального ремонта;</w:t>
      </w:r>
    </w:p>
    <w:p>
      <w:pPr>
        <w:pStyle w:val="0"/>
        <w:spacing w:before="200" w:line-rule="auto"/>
        <w:ind w:firstLine="540"/>
        <w:jc w:val="both"/>
      </w:pPr>
      <w:r>
        <w:rPr>
          <w:sz w:val="20"/>
        </w:rPr>
        <w:t xml:space="preserve">4) источники финансирования капитального ремонта;</w:t>
      </w:r>
    </w:p>
    <w:p>
      <w:pPr>
        <w:pStyle w:val="0"/>
        <w:spacing w:before="200" w:line-rule="auto"/>
        <w:ind w:firstLine="540"/>
        <w:jc w:val="both"/>
      </w:pPr>
      <w:r>
        <w:rPr>
          <w:sz w:val="20"/>
        </w:rPr>
        <w:t xml:space="preserve">5)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pPr>
        <w:pStyle w:val="0"/>
        <w:spacing w:before="200" w:line-rule="auto"/>
        <w:ind w:firstLine="540"/>
        <w:jc w:val="both"/>
      </w:pPr>
      <w:r>
        <w:rPr>
          <w:sz w:val="20"/>
        </w:rPr>
        <w:t xml:space="preserve">8.3. Решение общего собрания собственников помещений в многоквартирном доме о проведении капитального ремонта общего имущества в этом многоквартирном доме принимается с учетом:</w:t>
      </w:r>
    </w:p>
    <w:p>
      <w:pPr>
        <w:pStyle w:val="0"/>
        <w:spacing w:before="200" w:line-rule="auto"/>
        <w:ind w:firstLine="540"/>
        <w:jc w:val="both"/>
      </w:pPr>
      <w:r>
        <w:rPr>
          <w:sz w:val="20"/>
        </w:rPr>
        <w:t xml:space="preserve">- положений Жилищного </w:t>
      </w:r>
      <w:hyperlink w:history="0" r:id="rId34" w:tooltip="&quot;Жилищный кодекс Российской Федерации&quot; от 29.12.2004 N 188-ФЗ (ред. от 28.04.2023) {КонсультантПлюс}">
        <w:r>
          <w:rPr>
            <w:sz w:val="20"/>
            <w:color w:val="0000ff"/>
          </w:rPr>
          <w:t xml:space="preserve">кодекса</w:t>
        </w:r>
      </w:hyperlink>
      <w:r>
        <w:rPr>
          <w:sz w:val="20"/>
        </w:rPr>
        <w:t xml:space="preserve"> Российской Федерации;</w:t>
      </w:r>
    </w:p>
    <w:p>
      <w:pPr>
        <w:pStyle w:val="0"/>
        <w:spacing w:before="200" w:line-rule="auto"/>
        <w:ind w:firstLine="540"/>
        <w:jc w:val="both"/>
      </w:pPr>
      <w:r>
        <w:rPr>
          <w:sz w:val="20"/>
        </w:rPr>
        <w:t xml:space="preserve">- актов мониторинга технического состояния многоквартирных домов, подготовленных органами местного самоуправления муниципальных районов и городских округов Белгородской области в соответствии с </w:t>
      </w:r>
      <w:hyperlink w:history="0" r:id="rId35" w:tooltip="Постановление Правительства Белгородской обл. от 30.12.2013 N 532-пп (ред. от 11.04.2022) &quot;О проведении мониторинга технического состояния многоквартирных домов на территории Белгородской области&quot; (вместе с &quot;Порядком проведения мониторинга технического состояния многоквартирных домов на территории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30 декабря 2013 года N 532-пп "О проведении мониторинга технического состояния многоквартирных домов на территории Белгородской области";</w:t>
      </w:r>
    </w:p>
    <w:p>
      <w:pPr>
        <w:pStyle w:val="0"/>
        <w:spacing w:before="200" w:line-rule="auto"/>
        <w:ind w:firstLine="540"/>
        <w:jc w:val="both"/>
      </w:pPr>
      <w:r>
        <w:rPr>
          <w:sz w:val="20"/>
        </w:rPr>
        <w:t xml:space="preserve">- лимитов финансирования услуг и (или) работ по капитальному ремонту, рассчитанных в соответствии с </w:t>
      </w:r>
      <w:hyperlink w:history="0" w:anchor="P73" w:tooltip="5. Лимит финансирования услуг и (или) работ по капитальному ремонту в многоквартирном доме определяется как разность между суммарными начислениями взносов на капитальный ремонт в течение 30 лет с момента включения многоквартирного дома в адресную программу и стоимостью выполненных услуг и (или) работ по капитальному ремонту в рамках реализации адресной программы за аналогичный период. Суммарные начисления взносов на капитальный ремонт складываются из суммы, фактически начисленной на момент направления пр...">
        <w:r>
          <w:rPr>
            <w:sz w:val="20"/>
            <w:color w:val="0000ff"/>
          </w:rPr>
          <w:t xml:space="preserve">пунктом 5</w:t>
        </w:r>
      </w:hyperlink>
      <w:r>
        <w:rPr>
          <w:sz w:val="20"/>
        </w:rPr>
        <w:t xml:space="preserve"> Порядка;</w:t>
      </w:r>
    </w:p>
    <w:p>
      <w:pPr>
        <w:pStyle w:val="0"/>
        <w:spacing w:before="200" w:line-rule="auto"/>
        <w:ind w:firstLine="540"/>
        <w:jc w:val="both"/>
      </w:pPr>
      <w:r>
        <w:rPr>
          <w:sz w:val="20"/>
        </w:rPr>
        <w:t xml:space="preserve">- обеспечения в обязательном порядке выполнения услуг и (или) работ по капитальному ремонту, предусмотренных </w:t>
      </w:r>
      <w:hyperlink w:history="0" r:id="rId36" w:tooltip="&quot;Жилищный кодекс Российской Федерации&quot; от 29.12.2004 N 188-ФЗ (ред. от 28.04.2023) {КонсультантПлюс}">
        <w:r>
          <w:rPr>
            <w:sz w:val="20"/>
            <w:color w:val="0000ff"/>
          </w:rPr>
          <w:t xml:space="preserve">частью 1 статьи 166</w:t>
        </w:r>
      </w:hyperlink>
      <w:r>
        <w:rPr>
          <w:sz w:val="20"/>
        </w:rPr>
        <w:t xml:space="preserve"> Жилищного кодекса Российской Федерации;</w:t>
      </w:r>
    </w:p>
    <w:p>
      <w:pPr>
        <w:pStyle w:val="0"/>
        <w:spacing w:before="200" w:line-rule="auto"/>
        <w:ind w:firstLine="540"/>
        <w:jc w:val="both"/>
      </w:pPr>
      <w:r>
        <w:rPr>
          <w:sz w:val="20"/>
        </w:rPr>
        <w:t xml:space="preserve">- видов работ, утвержденных в адресной программе по соответствующему многоквартирному дому.</w:t>
      </w:r>
    </w:p>
    <w:p>
      <w:pPr>
        <w:pStyle w:val="0"/>
        <w:spacing w:before="200" w:line-rule="auto"/>
        <w:ind w:firstLine="540"/>
        <w:jc w:val="both"/>
      </w:pPr>
      <w:r>
        <w:rPr>
          <w:sz w:val="20"/>
        </w:rPr>
        <w:t xml:space="preserve">9. В течение срока, указанного в </w:t>
      </w:r>
      <w:hyperlink w:history="0" w:anchor="P78" w:tooltip="8. Собственники помещений в многоквартирном доме в течение трех месяцев с момента получения предложений, указанных в пункте 4 Порядка, обязаны рассмотреть указанные предложения и принять на общем собрании решение в соответствии с подпунктом 8.1 пункта 8 Порядка.">
        <w:r>
          <w:rPr>
            <w:sz w:val="20"/>
            <w:color w:val="0000ff"/>
          </w:rPr>
          <w:t xml:space="preserve">пункте 8</w:t>
        </w:r>
      </w:hyperlink>
      <w:r>
        <w:rPr>
          <w:sz w:val="20"/>
        </w:rPr>
        <w:t xml:space="preserve"> Порядка, собственники помещений многоквартирных домов, расположенных на территории Белгородской области, обязаны направить принятое решение о проведении капитального ремонта в адрес органа местного самоуправления, на территории которого расположен многоквартирный дом, для последующей передачи в адрес регионального оператора.</w:t>
      </w:r>
    </w:p>
    <w:p>
      <w:pPr>
        <w:pStyle w:val="0"/>
        <w:spacing w:before="200" w:line-rule="auto"/>
        <w:ind w:firstLine="540"/>
        <w:jc w:val="both"/>
      </w:pPr>
      <w:r>
        <w:rPr>
          <w:sz w:val="20"/>
        </w:rPr>
        <w:t xml:space="preserve">9.1. Органы местного самоуправления в течение 10 (десяти) рабочих дней со дня получения решений собственников многоквартирных домов направляют полученные решения о проведении капитального ремонта в адрес регионального оператора.</w:t>
      </w:r>
    </w:p>
    <w:p>
      <w:pPr>
        <w:pStyle w:val="0"/>
        <w:spacing w:before="200" w:line-rule="auto"/>
        <w:ind w:firstLine="540"/>
        <w:jc w:val="both"/>
      </w:pPr>
      <w:r>
        <w:rPr>
          <w:sz w:val="20"/>
        </w:rPr>
        <w:t xml:space="preserve">9.2. В случае если в срок, указанный в </w:t>
      </w:r>
      <w:hyperlink w:history="0" w:anchor="P78" w:tooltip="8. Собственники помещений в многоквартирном доме в течение трех месяцев с момента получения предложений, указанных в пункте 4 Порядка, обязаны рассмотреть указанные предложения и принять на общем собрании решение в соответствии с подпунктом 8.1 пункта 8 Порядка.">
        <w:r>
          <w:rPr>
            <w:sz w:val="20"/>
            <w:color w:val="0000ff"/>
          </w:rPr>
          <w:t xml:space="preserve">пункте 8</w:t>
        </w:r>
      </w:hyperlink>
      <w:r>
        <w:rPr>
          <w:sz w:val="20"/>
        </w:rPr>
        <w:t xml:space="preserve"> Порядка, собственники помещений в многоквартирном доме, формирующие фонд капитального ремонта на счете регионального оператора, не приняли решение о проведении капитального ремонта общего имущества в этом многоквартирном доме, орган местного самоуправления в течение месяца со дня истечения указанного срока принимает решение о проведении такого капитального ремонта в соответствии с адресной программой, уведомив собственников помещений многоквартирного дома о принятом решении.</w:t>
      </w:r>
    </w:p>
    <w:p>
      <w:pPr>
        <w:pStyle w:val="0"/>
        <w:spacing w:before="200" w:line-rule="auto"/>
        <w:ind w:firstLine="540"/>
        <w:jc w:val="both"/>
      </w:pPr>
      <w:r>
        <w:rPr>
          <w:sz w:val="20"/>
        </w:rPr>
        <w:t xml:space="preserve">9.3. Решение органа местного самоуправления о проведении капитального ремонта в многоквартирном доме принимается с учетом:</w:t>
      </w:r>
    </w:p>
    <w:p>
      <w:pPr>
        <w:pStyle w:val="0"/>
        <w:spacing w:before="200" w:line-rule="auto"/>
        <w:ind w:firstLine="540"/>
        <w:jc w:val="both"/>
      </w:pPr>
      <w:r>
        <w:rPr>
          <w:sz w:val="20"/>
        </w:rPr>
        <w:t xml:space="preserve">- положений Жилищного </w:t>
      </w:r>
      <w:hyperlink w:history="0" r:id="rId37" w:tooltip="&quot;Жилищный кодекс Российской Федерации&quot; от 29.12.2004 N 188-ФЗ (ред. от 28.04.2023) {КонсультантПлюс}">
        <w:r>
          <w:rPr>
            <w:sz w:val="20"/>
            <w:color w:val="0000ff"/>
          </w:rPr>
          <w:t xml:space="preserve">кодекса</w:t>
        </w:r>
      </w:hyperlink>
      <w:r>
        <w:rPr>
          <w:sz w:val="20"/>
        </w:rPr>
        <w:t xml:space="preserve"> Российской Федерации;</w:t>
      </w:r>
    </w:p>
    <w:p>
      <w:pPr>
        <w:pStyle w:val="0"/>
        <w:spacing w:before="200" w:line-rule="auto"/>
        <w:ind w:firstLine="540"/>
        <w:jc w:val="both"/>
      </w:pPr>
      <w:r>
        <w:rPr>
          <w:sz w:val="20"/>
        </w:rPr>
        <w:t xml:space="preserve">- актов мониторинга технического состояния многоквартирных домов, подготовленных в соответствии с </w:t>
      </w:r>
      <w:hyperlink w:history="0" r:id="rId38" w:tooltip="Постановление Правительства Белгородской обл. от 30.12.2013 N 532-пп (ред. от 11.04.2022) &quot;О проведении мониторинга технического состояния многоквартирных домов на территории Белгородской области&quot; (вместе с &quot;Порядком проведения мониторинга технического состояния многоквартирных домов на территории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30 декабря 2013 года N 532-пп "О проведении мониторинга технического состояния многоквартирных домов на территории Белгородской области";</w:t>
      </w:r>
    </w:p>
    <w:p>
      <w:pPr>
        <w:pStyle w:val="0"/>
        <w:spacing w:before="200" w:line-rule="auto"/>
        <w:ind w:firstLine="540"/>
        <w:jc w:val="both"/>
      </w:pPr>
      <w:r>
        <w:rPr>
          <w:sz w:val="20"/>
        </w:rPr>
        <w:t xml:space="preserve">- лимитов финансирования услуг и (или) работ по капитальному ремонту, рассчитанных в соответствии с </w:t>
      </w:r>
      <w:hyperlink w:history="0" w:anchor="P73" w:tooltip="5. Лимит финансирования услуг и (или) работ по капитальному ремонту в многоквартирном доме определяется как разность между суммарными начислениями взносов на капитальный ремонт в течение 30 лет с момента включения многоквартирного дома в адресную программу и стоимостью выполненных услуг и (или) работ по капитальному ремонту в рамках реализации адресной программы за аналогичный период. Суммарные начисления взносов на капитальный ремонт складываются из суммы, фактически начисленной на момент направления пр...">
        <w:r>
          <w:rPr>
            <w:sz w:val="20"/>
            <w:color w:val="0000ff"/>
          </w:rPr>
          <w:t xml:space="preserve">пунктом 5</w:t>
        </w:r>
      </w:hyperlink>
      <w:r>
        <w:rPr>
          <w:sz w:val="20"/>
        </w:rPr>
        <w:t xml:space="preserve"> Порядка;</w:t>
      </w:r>
    </w:p>
    <w:p>
      <w:pPr>
        <w:pStyle w:val="0"/>
        <w:spacing w:before="200" w:line-rule="auto"/>
        <w:ind w:firstLine="540"/>
        <w:jc w:val="both"/>
      </w:pPr>
      <w:r>
        <w:rPr>
          <w:sz w:val="20"/>
        </w:rPr>
        <w:t xml:space="preserve">- обеспечения в обязательном порядке выполнения услуг и (или) работ по капитальному ремонту, предусмотренных </w:t>
      </w:r>
      <w:hyperlink w:history="0" r:id="rId39" w:tooltip="&quot;Жилищный кодекс Российской Федерации&quot; от 29.12.2004 N 188-ФЗ (ред. от 28.04.2023) {КонсультантПлюс}">
        <w:r>
          <w:rPr>
            <w:sz w:val="20"/>
            <w:color w:val="0000ff"/>
          </w:rPr>
          <w:t xml:space="preserve">частью 1 статьи 166</w:t>
        </w:r>
      </w:hyperlink>
      <w:r>
        <w:rPr>
          <w:sz w:val="20"/>
        </w:rPr>
        <w:t xml:space="preserve"> Жилищного кодекса Российской Федерации;</w:t>
      </w:r>
    </w:p>
    <w:p>
      <w:pPr>
        <w:pStyle w:val="0"/>
        <w:spacing w:before="200" w:line-rule="auto"/>
        <w:ind w:firstLine="540"/>
        <w:jc w:val="both"/>
      </w:pPr>
      <w:r>
        <w:rPr>
          <w:sz w:val="20"/>
        </w:rPr>
        <w:t xml:space="preserve">- видов работ, утвержденных в адресной программе по соответствующему многоквартирному дому.</w:t>
      </w:r>
    </w:p>
    <w:p>
      <w:pPr>
        <w:pStyle w:val="0"/>
        <w:spacing w:before="200" w:line-rule="auto"/>
        <w:ind w:firstLine="540"/>
        <w:jc w:val="both"/>
      </w:pPr>
      <w:r>
        <w:rPr>
          <w:sz w:val="20"/>
        </w:rPr>
        <w:t xml:space="preserve">9.4. Решение органа местного самоуправления должно быть представлено в адрес регионального оператора в течение 10 (десяти) рабочих дней с момента принятия такого решения.</w:t>
      </w:r>
    </w:p>
    <w:p>
      <w:pPr>
        <w:pStyle w:val="0"/>
        <w:spacing w:before="200" w:line-rule="auto"/>
        <w:ind w:firstLine="540"/>
        <w:jc w:val="both"/>
      </w:pPr>
      <w:r>
        <w:rPr>
          <w:sz w:val="20"/>
        </w:rPr>
        <w:t xml:space="preserve">10. Объем средств, которые региональный оператор ежегодно вправе израсходовать на финансирование адресной программы (объем средств, предоставляемый за счет средств фондов капитального ремонта, сформированных собственниками помещений в многоквартирных домах, общее имущество в которых подлежит капитальному ремонту в будущем периоде), определяется в соответствии со </w:t>
      </w:r>
      <w:hyperlink w:history="0" r:id="rId40" w:tooltip="Закон Белгородской области от 31.01.2013 N 173 (ред. от 25.04.2022) &quot;О создании системы финансирования капитального ремонта общего имущества в многоквартирных домах Белгородской области&quot; (принят Белгородской областной Думой 24.01.2013) {КонсультантПлюс}">
        <w:r>
          <w:rPr>
            <w:sz w:val="20"/>
            <w:color w:val="0000ff"/>
          </w:rPr>
          <w:t xml:space="preserve">статьей 3</w:t>
        </w:r>
      </w:hyperlink>
      <w:r>
        <w:rPr>
          <w:sz w:val="20"/>
        </w:rPr>
        <w:t xml:space="preserve"> закона Белгородской области от 31 января 2013 года N 173 "О создании системы финансирования капитального ремонта общего имущества в многоквартирных домах Белгородской области".</w:t>
      </w:r>
    </w:p>
    <w:p>
      <w:pPr>
        <w:pStyle w:val="0"/>
        <w:spacing w:before="200" w:line-rule="auto"/>
        <w:ind w:firstLine="540"/>
        <w:jc w:val="both"/>
      </w:pPr>
      <w:r>
        <w:rPr>
          <w:sz w:val="20"/>
        </w:rPr>
        <w:t xml:space="preserve">11. Формирование краткосрочных планов производится региональным оператором на основании утвержденных муниципальных краткосрочных планов.</w:t>
      </w:r>
    </w:p>
    <w:p>
      <w:pPr>
        <w:pStyle w:val="0"/>
        <w:spacing w:before="200" w:line-rule="auto"/>
        <w:ind w:firstLine="540"/>
        <w:jc w:val="both"/>
      </w:pPr>
      <w:r>
        <w:rPr>
          <w:sz w:val="20"/>
        </w:rPr>
        <w:t xml:space="preserve">12. Актуализация краткосрочных планов производится региональным оператором. Основанием для актуализации краткосрочных планов является:</w:t>
      </w:r>
    </w:p>
    <w:p>
      <w:pPr>
        <w:pStyle w:val="0"/>
        <w:spacing w:before="200" w:line-rule="auto"/>
        <w:ind w:firstLine="540"/>
        <w:jc w:val="both"/>
      </w:pPr>
      <w:r>
        <w:rPr>
          <w:sz w:val="20"/>
        </w:rPr>
        <w:t xml:space="preserve">- актуализация адресной программы;</w:t>
      </w:r>
    </w:p>
    <w:p>
      <w:pPr>
        <w:pStyle w:val="0"/>
        <w:spacing w:before="200" w:line-rule="auto"/>
        <w:ind w:firstLine="540"/>
        <w:jc w:val="both"/>
      </w:pPr>
      <w:r>
        <w:rPr>
          <w:sz w:val="20"/>
        </w:rPr>
        <w:t xml:space="preserve">- внесение изменений в муниципальные краткосрочные планы;</w:t>
      </w:r>
    </w:p>
    <w:p>
      <w:pPr>
        <w:pStyle w:val="0"/>
        <w:spacing w:before="200" w:line-rule="auto"/>
        <w:ind w:firstLine="540"/>
        <w:jc w:val="both"/>
      </w:pPr>
      <w:r>
        <w:rPr>
          <w:sz w:val="20"/>
        </w:rPr>
        <w:t xml:space="preserve">- получение сметной стоимости работ и (или) услуг по капитальному ремонту каждого конструктивного элемента многоквартирного дома, по которому собственниками помещений принято решение о проведении капитального ремонта, по форме согласно </w:t>
      </w:r>
      <w:hyperlink w:history="0" w:anchor="P392" w:tooltip="II. Реестр многоквартирных домов по видам работ (услуг)">
        <w:r>
          <w:rPr>
            <w:sz w:val="20"/>
            <w:color w:val="0000ff"/>
          </w:rPr>
          <w:t xml:space="preserve">приложению N 2</w:t>
        </w:r>
      </w:hyperlink>
      <w:r>
        <w:rPr>
          <w:sz w:val="20"/>
        </w:rPr>
        <w:t xml:space="preserve"> к Порядку;</w:t>
      </w:r>
    </w:p>
    <w:p>
      <w:pPr>
        <w:pStyle w:val="0"/>
        <w:spacing w:before="200" w:line-rule="auto"/>
        <w:ind w:firstLine="540"/>
        <w:jc w:val="both"/>
      </w:pPr>
      <w:r>
        <w:rPr>
          <w:sz w:val="20"/>
        </w:rPr>
        <w:t xml:space="preserve">- изменение объемов финансовой поддержки;</w:t>
      </w:r>
    </w:p>
    <w:p>
      <w:pPr>
        <w:pStyle w:val="0"/>
        <w:spacing w:before="200" w:line-rule="auto"/>
        <w:ind w:firstLine="540"/>
        <w:jc w:val="both"/>
      </w:pPr>
      <w:r>
        <w:rPr>
          <w:sz w:val="20"/>
        </w:rPr>
        <w:t xml:space="preserve">- осуществление приемки фактически выполненных услуг и (или) работ по капитальному ремонту и сдачи подрядными организациями подтверждающих документов (при необходимости).</w:t>
      </w:r>
    </w:p>
    <w:p>
      <w:pPr>
        <w:pStyle w:val="0"/>
        <w:spacing w:before="200" w:line-rule="auto"/>
        <w:ind w:firstLine="540"/>
        <w:jc w:val="both"/>
      </w:pPr>
      <w:r>
        <w:rPr>
          <w:sz w:val="20"/>
        </w:rPr>
        <w:t xml:space="preserve">13. Проекты краткосрочных планов, в том числе проекты актуализации краткосрочных планов, согласовываются министерством жилищно-коммунального хозяйства Белгородской области.</w:t>
      </w:r>
    </w:p>
    <w:p>
      <w:pPr>
        <w:pStyle w:val="0"/>
        <w:jc w:val="both"/>
      </w:pPr>
      <w:r>
        <w:rPr>
          <w:sz w:val="20"/>
        </w:rPr>
        <w:t xml:space="preserve">(в ред. </w:t>
      </w:r>
      <w:hyperlink w:history="0" r:id="rId41" w:tooltip="Постановление Правительства Белгородской обл. от 11.04.2022 N 222-пп &quot;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пп&quot; {КонсультантПлюс}">
        <w:r>
          <w:rPr>
            <w:sz w:val="20"/>
            <w:color w:val="0000ff"/>
          </w:rPr>
          <w:t xml:space="preserve">постановления</w:t>
        </w:r>
      </w:hyperlink>
      <w:r>
        <w:rPr>
          <w:sz w:val="20"/>
        </w:rPr>
        <w:t xml:space="preserve"> Правительства Белгородской области от 11.04.2022 N 222-пп)</w:t>
      </w:r>
    </w:p>
    <w:p>
      <w:pPr>
        <w:pStyle w:val="0"/>
        <w:spacing w:before="200" w:line-rule="auto"/>
        <w:ind w:firstLine="540"/>
        <w:jc w:val="both"/>
      </w:pPr>
      <w:r>
        <w:rPr>
          <w:sz w:val="20"/>
        </w:rPr>
        <w:t xml:space="preserve">14. Краткосрочный план на очередной трехлетний период утверждается Правительством Белгородской области не позднее 1 июня года, предшествующего первому году очередного трехлетнего периода.</w:t>
      </w:r>
    </w:p>
    <w:p>
      <w:pPr>
        <w:pStyle w:val="0"/>
        <w:spacing w:before="200" w:line-rule="auto"/>
        <w:ind w:firstLine="540"/>
        <w:jc w:val="both"/>
      </w:pPr>
      <w:r>
        <w:rPr>
          <w:sz w:val="20"/>
        </w:rPr>
        <w:t xml:space="preserve">15. Ответственность за полноту и достоверность информации, отраженной в представленных муниципальных краткосрочных планах на очередной трехлетний период, несут органы местного самоуправления муниципальных районов и городских округов Белгородской области.</w:t>
      </w:r>
    </w:p>
    <w:p>
      <w:pPr>
        <w:pStyle w:val="0"/>
        <w:spacing w:before="200" w:line-rule="auto"/>
        <w:ind w:firstLine="540"/>
        <w:jc w:val="both"/>
      </w:pPr>
      <w:r>
        <w:rPr>
          <w:sz w:val="20"/>
        </w:rPr>
        <w:t xml:space="preserve">16. Не позднее 15 июня года, предшествующего первому году очередного трехлетнего периода, региональный оператор размещает в государственной информационной системе жилищно-коммунального хозяйства, а также на своем официальном сайте в сети Интернет утвержденный краткосрочный план на очередной трехлетний период.</w:t>
      </w:r>
    </w:p>
    <w:p>
      <w:pPr>
        <w:pStyle w:val="0"/>
        <w:spacing w:before="200" w:line-rule="auto"/>
        <w:ind w:firstLine="540"/>
        <w:jc w:val="both"/>
      </w:pPr>
      <w:r>
        <w:rPr>
          <w:sz w:val="20"/>
        </w:rPr>
        <w:t xml:space="preserve">17. Обязанность по уплате взносов на капитальный ремонт собственниками помещений в многоквартирном доме, введенном в эксплуатацию после утверждения адресной программы и включенном в адресную программу при ее актуализации, возникает по истечении 5 (пяти) лет с даты включения данного многоквартирного дома в адресную программу. Решение об определении способа формирования фонда капитального ремонта должно быть принято и реализовано собственниками помещений в данном многоквартирном доме не позднее трех месяцев до возникновения обязанности по уплате взносов на капитальный ремонт.</w:t>
      </w:r>
    </w:p>
    <w:p>
      <w:pPr>
        <w:pStyle w:val="0"/>
        <w:spacing w:before="200" w:line-rule="auto"/>
        <w:ind w:firstLine="540"/>
        <w:jc w:val="both"/>
      </w:pPr>
      <w:r>
        <w:rPr>
          <w:sz w:val="20"/>
        </w:rPr>
        <w:t xml:space="preserve">18. Региональный оператор в целях обеспечения оказания услуг и (или) выполнения работ по капитальному ремонту общего имущества в многоквартирном доме обязан осуществлять приемку оказанных услуг и (или) выполненных работ, в том числе обеспечить создание соответствующих комиссий с участием представителей министерства жилищно-коммунального хозяйства Белгородской области, лиц, осуществляющих управление данным многоквартирным домом, и представителей собственников помещений в многоквартирном доме.</w:t>
      </w:r>
    </w:p>
    <w:p>
      <w:pPr>
        <w:pStyle w:val="0"/>
        <w:jc w:val="both"/>
      </w:pPr>
      <w:r>
        <w:rPr>
          <w:sz w:val="20"/>
        </w:rPr>
        <w:t xml:space="preserve">(в ред. </w:t>
      </w:r>
      <w:hyperlink w:history="0" r:id="rId42" w:tooltip="Постановление Правительства Белгородской обл. от 11.04.2022 N 222-пп &quot;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пп&quot; {КонсультантПлюс}">
        <w:r>
          <w:rPr>
            <w:sz w:val="20"/>
            <w:color w:val="0000ff"/>
          </w:rPr>
          <w:t xml:space="preserve">постановления</w:t>
        </w:r>
      </w:hyperlink>
      <w:r>
        <w:rPr>
          <w:sz w:val="20"/>
        </w:rPr>
        <w:t xml:space="preserve"> Правительства Белгородской области от 11.04.2022 N 222-пп)</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1</w:t>
      </w:r>
    </w:p>
    <w:p>
      <w:pPr>
        <w:pStyle w:val="0"/>
        <w:jc w:val="right"/>
      </w:pPr>
      <w:r>
        <w:rPr>
          <w:sz w:val="20"/>
        </w:rPr>
        <w:t xml:space="preserve">к Порядку разработки краткосрочных планов</w:t>
      </w:r>
    </w:p>
    <w:p>
      <w:pPr>
        <w:pStyle w:val="0"/>
        <w:jc w:val="right"/>
      </w:pPr>
      <w:r>
        <w:rPr>
          <w:sz w:val="20"/>
        </w:rPr>
        <w:t xml:space="preserve">реализации адресной программы проведения</w:t>
      </w:r>
    </w:p>
    <w:p>
      <w:pPr>
        <w:pStyle w:val="0"/>
        <w:jc w:val="right"/>
      </w:pPr>
      <w:r>
        <w:rPr>
          <w:sz w:val="20"/>
        </w:rPr>
        <w:t xml:space="preserve">капитального ремонта общего имущества в</w:t>
      </w:r>
    </w:p>
    <w:p>
      <w:pPr>
        <w:pStyle w:val="0"/>
        <w:jc w:val="right"/>
      </w:pPr>
      <w:r>
        <w:rPr>
          <w:sz w:val="20"/>
        </w:rPr>
        <w:t xml:space="preserve">многоквартирных домах в Белгородской</w:t>
      </w:r>
    </w:p>
    <w:p>
      <w:pPr>
        <w:pStyle w:val="0"/>
        <w:jc w:val="right"/>
      </w:pPr>
      <w:r>
        <w:rPr>
          <w:sz w:val="20"/>
        </w:rPr>
        <w:t xml:space="preserve">области на 2019 - 2048 годы</w:t>
      </w:r>
    </w:p>
    <w:p>
      <w:pPr>
        <w:pStyle w:val="0"/>
        <w:jc w:val="both"/>
      </w:pPr>
      <w:r>
        <w:rPr>
          <w:sz w:val="20"/>
        </w:rPr>
      </w:r>
    </w:p>
    <w:bookmarkStart w:id="133" w:name="P133"/>
    <w:bookmarkEnd w:id="133"/>
    <w:p>
      <w:pPr>
        <w:pStyle w:val="0"/>
        <w:jc w:val="center"/>
      </w:pPr>
      <w:r>
        <w:rPr>
          <w:sz w:val="20"/>
        </w:rPr>
        <w:t xml:space="preserve">План реализации в ________ годах адресной программы</w:t>
      </w:r>
    </w:p>
    <w:p>
      <w:pPr>
        <w:pStyle w:val="0"/>
        <w:jc w:val="center"/>
      </w:pPr>
      <w:r>
        <w:rPr>
          <w:sz w:val="20"/>
        </w:rPr>
        <w:t xml:space="preserve">проведения капитального ремонта общего имущества</w:t>
      </w:r>
    </w:p>
    <w:p>
      <w:pPr>
        <w:pStyle w:val="0"/>
        <w:jc w:val="center"/>
      </w:pPr>
      <w:r>
        <w:rPr>
          <w:sz w:val="20"/>
        </w:rPr>
        <w:t xml:space="preserve">в многоквартирных домах в Белгородской области</w:t>
      </w:r>
    </w:p>
    <w:p>
      <w:pPr>
        <w:pStyle w:val="0"/>
        <w:jc w:val="center"/>
      </w:pPr>
      <w:r>
        <w:rPr>
          <w:sz w:val="20"/>
        </w:rPr>
        <w:t xml:space="preserve">на 2019 - 2048 годы</w:t>
      </w:r>
    </w:p>
    <w:p>
      <w:pPr>
        <w:pStyle w:val="0"/>
        <w:jc w:val="both"/>
      </w:pPr>
      <w:r>
        <w:rPr>
          <w:sz w:val="20"/>
        </w:rPr>
      </w:r>
    </w:p>
    <w:p>
      <w:pPr>
        <w:pStyle w:val="0"/>
        <w:outlineLvl w:val="2"/>
        <w:jc w:val="center"/>
      </w:pPr>
      <w:r>
        <w:rPr>
          <w:sz w:val="20"/>
        </w:rPr>
        <w:t xml:space="preserve">I. Перечень многоквартирных домов, включенных в соответствии</w:t>
      </w:r>
    </w:p>
    <w:p>
      <w:pPr>
        <w:pStyle w:val="0"/>
        <w:jc w:val="center"/>
      </w:pPr>
      <w:r>
        <w:rPr>
          <w:sz w:val="20"/>
        </w:rPr>
        <w:t xml:space="preserve">с жилищным законодательством в краткосрочный план реализации</w:t>
      </w:r>
    </w:p>
    <w:p>
      <w:pPr>
        <w:pStyle w:val="0"/>
        <w:jc w:val="center"/>
      </w:pPr>
      <w:r>
        <w:rPr>
          <w:sz w:val="20"/>
        </w:rPr>
        <w:t xml:space="preserve">адресной программы проведения капитального ремонта общего</w:t>
      </w:r>
    </w:p>
    <w:p>
      <w:pPr>
        <w:pStyle w:val="0"/>
        <w:jc w:val="center"/>
      </w:pPr>
      <w:r>
        <w:rPr>
          <w:sz w:val="20"/>
        </w:rPr>
        <w:t xml:space="preserve">имущества в многоквартирных домах в Белгородской области</w:t>
      </w:r>
    </w:p>
    <w:p>
      <w:pPr>
        <w:pStyle w:val="0"/>
        <w:jc w:val="center"/>
      </w:pPr>
      <w:r>
        <w:rPr>
          <w:sz w:val="20"/>
        </w:rPr>
        <w:t xml:space="preserve">на 2019 - 2048 годы</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4"/>
        <w:gridCol w:w="624"/>
        <w:gridCol w:w="2014"/>
        <w:gridCol w:w="907"/>
        <w:gridCol w:w="964"/>
        <w:gridCol w:w="1129"/>
        <w:gridCol w:w="737"/>
        <w:gridCol w:w="794"/>
        <w:gridCol w:w="1077"/>
        <w:gridCol w:w="994"/>
        <w:gridCol w:w="1134"/>
        <w:gridCol w:w="1304"/>
        <w:gridCol w:w="694"/>
        <w:gridCol w:w="1304"/>
        <w:gridCol w:w="964"/>
        <w:gridCol w:w="907"/>
        <w:gridCol w:w="1077"/>
        <w:gridCol w:w="1191"/>
        <w:gridCol w:w="1304"/>
        <w:gridCol w:w="907"/>
        <w:gridCol w:w="907"/>
      </w:tblGrid>
      <w:tr>
        <w:tc>
          <w:tcPr>
            <w:tcW w:w="514" w:type="dxa"/>
            <w:vAlign w:val="center"/>
            <w:vMerge w:val="restart"/>
          </w:tcPr>
          <w:p>
            <w:pPr>
              <w:pStyle w:val="0"/>
              <w:jc w:val="center"/>
            </w:pPr>
            <w:r>
              <w:rPr>
                <w:sz w:val="20"/>
              </w:rPr>
              <w:t xml:space="preserve">N п/п</w:t>
            </w:r>
          </w:p>
        </w:tc>
        <w:tc>
          <w:tcPr>
            <w:tcW w:w="624" w:type="dxa"/>
            <w:vAlign w:val="center"/>
            <w:vMerge w:val="restart"/>
          </w:tcPr>
          <w:p>
            <w:pPr>
              <w:pStyle w:val="0"/>
              <w:jc w:val="center"/>
            </w:pPr>
            <w:r>
              <w:rPr>
                <w:sz w:val="20"/>
              </w:rPr>
              <w:t xml:space="preserve">N по району</w:t>
            </w:r>
          </w:p>
        </w:tc>
        <w:tc>
          <w:tcPr>
            <w:tcW w:w="2014" w:type="dxa"/>
            <w:vAlign w:val="center"/>
            <w:vMerge w:val="restart"/>
          </w:tcPr>
          <w:p>
            <w:pPr>
              <w:pStyle w:val="0"/>
              <w:jc w:val="center"/>
            </w:pPr>
            <w:r>
              <w:rPr>
                <w:sz w:val="20"/>
              </w:rPr>
              <w:t xml:space="preserve">Адрес многоквартирного дома</w:t>
            </w:r>
          </w:p>
        </w:tc>
        <w:tc>
          <w:tcPr>
            <w:gridSpan w:val="2"/>
            <w:tcW w:w="1871" w:type="dxa"/>
            <w:vAlign w:val="center"/>
          </w:tcPr>
          <w:p>
            <w:pPr>
              <w:pStyle w:val="0"/>
              <w:jc w:val="center"/>
            </w:pPr>
            <w:r>
              <w:rPr>
                <w:sz w:val="20"/>
              </w:rPr>
              <w:t xml:space="preserve">Год</w:t>
            </w:r>
          </w:p>
        </w:tc>
        <w:tc>
          <w:tcPr>
            <w:tcW w:w="1129" w:type="dxa"/>
            <w:vAlign w:val="center"/>
            <w:vMerge w:val="restart"/>
          </w:tcPr>
          <w:p>
            <w:pPr>
              <w:pStyle w:val="0"/>
              <w:jc w:val="center"/>
            </w:pPr>
            <w:r>
              <w:rPr>
                <w:sz w:val="20"/>
              </w:rPr>
              <w:t xml:space="preserve">Материал стен</w:t>
            </w:r>
          </w:p>
        </w:tc>
        <w:tc>
          <w:tcPr>
            <w:tcW w:w="737" w:type="dxa"/>
            <w:vAlign w:val="center"/>
            <w:vMerge w:val="restart"/>
          </w:tcPr>
          <w:p>
            <w:pPr>
              <w:pStyle w:val="0"/>
              <w:jc w:val="center"/>
            </w:pPr>
            <w:r>
              <w:rPr>
                <w:sz w:val="20"/>
              </w:rPr>
              <w:t xml:space="preserve">Количество этажей</w:t>
            </w:r>
          </w:p>
        </w:tc>
        <w:tc>
          <w:tcPr>
            <w:tcW w:w="794" w:type="dxa"/>
            <w:vAlign w:val="center"/>
            <w:vMerge w:val="restart"/>
          </w:tcPr>
          <w:p>
            <w:pPr>
              <w:pStyle w:val="0"/>
              <w:jc w:val="center"/>
            </w:pPr>
            <w:r>
              <w:rPr>
                <w:sz w:val="20"/>
              </w:rPr>
              <w:t xml:space="preserve">Количество подъездов</w:t>
            </w:r>
          </w:p>
        </w:tc>
        <w:tc>
          <w:tcPr>
            <w:tcW w:w="1077" w:type="dxa"/>
            <w:vAlign w:val="center"/>
            <w:vMerge w:val="restart"/>
          </w:tcPr>
          <w:p>
            <w:pPr>
              <w:pStyle w:val="0"/>
              <w:jc w:val="center"/>
            </w:pPr>
            <w:r>
              <w:rPr>
                <w:sz w:val="20"/>
              </w:rPr>
              <w:t xml:space="preserve">Способ формирования фонда капитального ремонта</w:t>
            </w:r>
          </w:p>
        </w:tc>
        <w:tc>
          <w:tcPr>
            <w:tcW w:w="994" w:type="dxa"/>
            <w:vAlign w:val="center"/>
            <w:vMerge w:val="restart"/>
          </w:tcPr>
          <w:p>
            <w:pPr>
              <w:pStyle w:val="0"/>
              <w:jc w:val="center"/>
            </w:pPr>
            <w:r>
              <w:rPr>
                <w:sz w:val="20"/>
              </w:rPr>
              <w:t xml:space="preserve">Общая площадь МКД</w:t>
            </w:r>
          </w:p>
        </w:tc>
        <w:tc>
          <w:tcPr>
            <w:tcW w:w="1134" w:type="dxa"/>
            <w:vAlign w:val="center"/>
            <w:vMerge w:val="restart"/>
          </w:tcPr>
          <w:p>
            <w:pPr>
              <w:pStyle w:val="0"/>
              <w:jc w:val="center"/>
            </w:pPr>
            <w:r>
              <w:rPr>
                <w:sz w:val="20"/>
              </w:rPr>
              <w:t xml:space="preserve">Суммарная площадь жилых и нежилых помещений МКД</w:t>
            </w:r>
          </w:p>
        </w:tc>
        <w:tc>
          <w:tcPr>
            <w:tcW w:w="1304" w:type="dxa"/>
            <w:vAlign w:val="center"/>
            <w:vMerge w:val="restart"/>
          </w:tcPr>
          <w:p>
            <w:pPr>
              <w:pStyle w:val="0"/>
              <w:jc w:val="center"/>
            </w:pPr>
            <w:r>
              <w:rPr>
                <w:sz w:val="20"/>
              </w:rPr>
              <w:t xml:space="preserve">Количество жителей, зарегистрированных в МКД на дату утверждения программы</w:t>
            </w:r>
          </w:p>
        </w:tc>
        <w:tc>
          <w:tcPr>
            <w:gridSpan w:val="5"/>
            <w:tcW w:w="4946" w:type="dxa"/>
            <w:vAlign w:val="center"/>
          </w:tcPr>
          <w:p>
            <w:pPr>
              <w:pStyle w:val="0"/>
              <w:jc w:val="center"/>
            </w:pPr>
            <w:r>
              <w:rPr>
                <w:sz w:val="20"/>
              </w:rPr>
              <w:t xml:space="preserve">Стоимость капитального ремонта</w:t>
            </w:r>
          </w:p>
        </w:tc>
        <w:tc>
          <w:tcPr>
            <w:tcW w:w="1191" w:type="dxa"/>
            <w:vAlign w:val="center"/>
            <w:vMerge w:val="restart"/>
          </w:tcPr>
          <w:p>
            <w:pPr>
              <w:pStyle w:val="0"/>
              <w:jc w:val="center"/>
            </w:pPr>
            <w:r>
              <w:rPr>
                <w:sz w:val="20"/>
              </w:rPr>
              <w:t xml:space="preserve">Удельная стоимость капитального ремонта 1 кв. м общей площади помещений МКД (для комплексного ремонта)</w:t>
            </w:r>
          </w:p>
        </w:tc>
        <w:tc>
          <w:tcPr>
            <w:tcW w:w="1304" w:type="dxa"/>
            <w:vAlign w:val="center"/>
            <w:vMerge w:val="restart"/>
          </w:tcPr>
          <w:p>
            <w:pPr>
              <w:pStyle w:val="0"/>
              <w:jc w:val="center"/>
            </w:pPr>
            <w:r>
              <w:rPr>
                <w:sz w:val="20"/>
              </w:rPr>
              <w:t xml:space="preserve">Предельная стоимость капитального ремонта 1 кв. м общей площади помещений МКД</w:t>
            </w:r>
          </w:p>
        </w:tc>
        <w:tc>
          <w:tcPr>
            <w:tcW w:w="907" w:type="dxa"/>
            <w:vAlign w:val="center"/>
            <w:vMerge w:val="restart"/>
          </w:tcPr>
          <w:p>
            <w:pPr>
              <w:pStyle w:val="0"/>
              <w:jc w:val="center"/>
            </w:pPr>
            <w:r>
              <w:rPr>
                <w:sz w:val="20"/>
              </w:rPr>
              <w:t xml:space="preserve">Вид капитального ремонта</w:t>
            </w:r>
          </w:p>
        </w:tc>
        <w:tc>
          <w:tcPr>
            <w:tcW w:w="907" w:type="dxa"/>
            <w:vAlign w:val="center"/>
            <w:vMerge w:val="restart"/>
          </w:tcPr>
          <w:p>
            <w:pPr>
              <w:pStyle w:val="0"/>
              <w:jc w:val="center"/>
            </w:pPr>
            <w:r>
              <w:rPr>
                <w:sz w:val="20"/>
              </w:rPr>
              <w:t xml:space="preserve">Плановая дата завершения работ</w:t>
            </w:r>
          </w:p>
        </w:tc>
      </w:tr>
      <w:tr>
        <w:tc>
          <w:tcPr>
            <w:vMerge w:val="continue"/>
          </w:tcPr>
          <w:p/>
        </w:tc>
        <w:tc>
          <w:tcPr>
            <w:vMerge w:val="continue"/>
          </w:tcPr>
          <w:p/>
        </w:tc>
        <w:tc>
          <w:tcPr>
            <w:vMerge w:val="continue"/>
          </w:tcPr>
          <w:p/>
        </w:tc>
        <w:tc>
          <w:tcPr>
            <w:tcW w:w="907" w:type="dxa"/>
            <w:vAlign w:val="center"/>
            <w:vMerge w:val="restart"/>
          </w:tcPr>
          <w:p>
            <w:pPr>
              <w:pStyle w:val="0"/>
              <w:jc w:val="center"/>
            </w:pPr>
            <w:r>
              <w:rPr>
                <w:sz w:val="20"/>
              </w:rPr>
              <w:t xml:space="preserve">ввода в эксплуатацию</w:t>
            </w:r>
          </w:p>
        </w:tc>
        <w:tc>
          <w:tcPr>
            <w:tcW w:w="964" w:type="dxa"/>
            <w:vAlign w:val="center"/>
            <w:vMerge w:val="restart"/>
          </w:tcPr>
          <w:p>
            <w:pPr>
              <w:pStyle w:val="0"/>
              <w:jc w:val="center"/>
            </w:pPr>
            <w:r>
              <w:rPr>
                <w:sz w:val="20"/>
              </w:rPr>
              <w:t xml:space="preserve">проведения последнего капитального ремонта</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94" w:type="dxa"/>
            <w:vAlign w:val="center"/>
            <w:vMerge w:val="restart"/>
          </w:tcPr>
          <w:p>
            <w:pPr>
              <w:pStyle w:val="0"/>
              <w:jc w:val="center"/>
            </w:pPr>
            <w:r>
              <w:rPr>
                <w:sz w:val="20"/>
              </w:rPr>
              <w:t xml:space="preserve">Всего</w:t>
            </w:r>
          </w:p>
        </w:tc>
        <w:tc>
          <w:tcPr>
            <w:gridSpan w:val="4"/>
            <w:tcW w:w="4252" w:type="dxa"/>
            <w:vAlign w:val="center"/>
          </w:tcPr>
          <w:p>
            <w:pPr>
              <w:pStyle w:val="0"/>
              <w:jc w:val="center"/>
            </w:pPr>
            <w:r>
              <w:rPr>
                <w:sz w:val="20"/>
              </w:rPr>
              <w:t xml:space="preserve">в том числе:</w:t>
            </w:r>
          </w:p>
        </w:tc>
        <w:tc>
          <w:tcPr>
            <w:vMerge w:val="continue"/>
          </w:tcPr>
          <w:p/>
        </w:tc>
        <w:tc>
          <w:tcPr>
            <w:vMerge w:val="continue"/>
          </w:tcP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304" w:type="dxa"/>
            <w:vAlign w:val="center"/>
          </w:tcPr>
          <w:p>
            <w:pPr>
              <w:pStyle w:val="0"/>
              <w:jc w:val="center"/>
            </w:pPr>
            <w:r>
              <w:rPr>
                <w:sz w:val="20"/>
              </w:rPr>
              <w:t xml:space="preserve">за счет средств Государственной корпорации - Фонда содействия реформированию ЖКХ</w:t>
            </w:r>
          </w:p>
        </w:tc>
        <w:tc>
          <w:tcPr>
            <w:tcW w:w="964" w:type="dxa"/>
            <w:vAlign w:val="center"/>
          </w:tcPr>
          <w:p>
            <w:pPr>
              <w:pStyle w:val="0"/>
              <w:jc w:val="center"/>
            </w:pPr>
            <w:r>
              <w:rPr>
                <w:sz w:val="20"/>
              </w:rPr>
              <w:t xml:space="preserve">за счет бюджета Белгородской области</w:t>
            </w:r>
          </w:p>
        </w:tc>
        <w:tc>
          <w:tcPr>
            <w:tcW w:w="907" w:type="dxa"/>
            <w:vAlign w:val="center"/>
          </w:tcPr>
          <w:p>
            <w:pPr>
              <w:pStyle w:val="0"/>
              <w:jc w:val="center"/>
            </w:pPr>
            <w:r>
              <w:rPr>
                <w:sz w:val="20"/>
              </w:rPr>
              <w:t xml:space="preserve">за счет средств местного бюджета</w:t>
            </w:r>
          </w:p>
        </w:tc>
        <w:tc>
          <w:tcPr>
            <w:tcW w:w="1077" w:type="dxa"/>
            <w:vAlign w:val="center"/>
          </w:tcPr>
          <w:p>
            <w:pPr>
              <w:pStyle w:val="0"/>
              <w:jc w:val="center"/>
            </w:pPr>
            <w:r>
              <w:rPr>
                <w:sz w:val="20"/>
              </w:rPr>
              <w:t xml:space="preserve">за счет средств собственников помещений в МКД</w:t>
            </w:r>
          </w:p>
        </w:tc>
        <w:tc>
          <w:tcPr>
            <w:vMerge w:val="continue"/>
          </w:tcPr>
          <w:p/>
        </w:tc>
        <w:tc>
          <w:tcPr>
            <w:vMerge w:val="continue"/>
          </w:tcP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994" w:type="dxa"/>
            <w:vAlign w:val="center"/>
          </w:tcPr>
          <w:p>
            <w:pPr>
              <w:pStyle w:val="0"/>
              <w:jc w:val="center"/>
            </w:pPr>
            <w:r>
              <w:rPr>
                <w:sz w:val="20"/>
              </w:rPr>
              <w:t xml:space="preserve">кв. м</w:t>
            </w:r>
          </w:p>
        </w:tc>
        <w:tc>
          <w:tcPr>
            <w:tcW w:w="1134" w:type="dxa"/>
            <w:vAlign w:val="center"/>
          </w:tcPr>
          <w:p>
            <w:pPr>
              <w:pStyle w:val="0"/>
              <w:jc w:val="center"/>
            </w:pPr>
            <w:r>
              <w:rPr>
                <w:sz w:val="20"/>
              </w:rPr>
              <w:t xml:space="preserve">кв. м</w:t>
            </w:r>
          </w:p>
        </w:tc>
        <w:tc>
          <w:tcPr>
            <w:tcW w:w="1304" w:type="dxa"/>
            <w:vAlign w:val="center"/>
          </w:tcPr>
          <w:p>
            <w:pPr>
              <w:pStyle w:val="0"/>
              <w:jc w:val="center"/>
            </w:pPr>
            <w:r>
              <w:rPr>
                <w:sz w:val="20"/>
              </w:rPr>
              <w:t xml:space="preserve">чел.</w:t>
            </w:r>
          </w:p>
        </w:tc>
        <w:tc>
          <w:tcPr>
            <w:tcW w:w="694" w:type="dxa"/>
            <w:vAlign w:val="center"/>
          </w:tcPr>
          <w:p>
            <w:pPr>
              <w:pStyle w:val="0"/>
              <w:jc w:val="center"/>
            </w:pPr>
            <w:r>
              <w:rPr>
                <w:sz w:val="20"/>
              </w:rPr>
              <w:t xml:space="preserve">руб.</w:t>
            </w:r>
          </w:p>
        </w:tc>
        <w:tc>
          <w:tcPr>
            <w:tcW w:w="1304" w:type="dxa"/>
            <w:vAlign w:val="center"/>
          </w:tcPr>
          <w:p>
            <w:pPr>
              <w:pStyle w:val="0"/>
              <w:jc w:val="center"/>
            </w:pPr>
            <w:r>
              <w:rPr>
                <w:sz w:val="20"/>
              </w:rPr>
              <w:t xml:space="preserve">руб.</w:t>
            </w:r>
          </w:p>
        </w:tc>
        <w:tc>
          <w:tcPr>
            <w:tcW w:w="964" w:type="dxa"/>
            <w:vAlign w:val="center"/>
          </w:tcPr>
          <w:p>
            <w:pPr>
              <w:pStyle w:val="0"/>
              <w:jc w:val="center"/>
            </w:pPr>
            <w:r>
              <w:rPr>
                <w:sz w:val="20"/>
              </w:rPr>
              <w:t xml:space="preserve">руб.</w:t>
            </w:r>
          </w:p>
        </w:tc>
        <w:tc>
          <w:tcPr>
            <w:tcW w:w="907" w:type="dxa"/>
            <w:vAlign w:val="center"/>
          </w:tcPr>
          <w:p>
            <w:pPr>
              <w:pStyle w:val="0"/>
              <w:jc w:val="center"/>
            </w:pPr>
            <w:r>
              <w:rPr>
                <w:sz w:val="20"/>
              </w:rPr>
              <w:t xml:space="preserve">руб.</w:t>
            </w:r>
          </w:p>
        </w:tc>
        <w:tc>
          <w:tcPr>
            <w:tcW w:w="1077" w:type="dxa"/>
            <w:vAlign w:val="center"/>
          </w:tcPr>
          <w:p>
            <w:pPr>
              <w:pStyle w:val="0"/>
              <w:jc w:val="center"/>
            </w:pPr>
            <w:r>
              <w:rPr>
                <w:sz w:val="20"/>
              </w:rPr>
              <w:t xml:space="preserve">руб.</w:t>
            </w:r>
          </w:p>
        </w:tc>
        <w:tc>
          <w:tcPr>
            <w:tcW w:w="1191" w:type="dxa"/>
            <w:vAlign w:val="center"/>
          </w:tcPr>
          <w:p>
            <w:pPr>
              <w:pStyle w:val="0"/>
              <w:jc w:val="center"/>
            </w:pPr>
            <w:r>
              <w:rPr>
                <w:sz w:val="20"/>
              </w:rPr>
              <w:t xml:space="preserve">руб./кв. м</w:t>
            </w:r>
          </w:p>
        </w:tc>
        <w:tc>
          <w:tcPr>
            <w:tcW w:w="1304" w:type="dxa"/>
            <w:vAlign w:val="center"/>
          </w:tcPr>
          <w:p>
            <w:pPr>
              <w:pStyle w:val="0"/>
              <w:jc w:val="center"/>
            </w:pPr>
            <w:r>
              <w:rPr>
                <w:sz w:val="20"/>
              </w:rPr>
              <w:t xml:space="preserve">руб./кв. м</w:t>
            </w:r>
          </w:p>
        </w:tc>
        <w:tc>
          <w:tcPr>
            <w:vMerge w:val="continue"/>
          </w:tcPr>
          <w:p/>
        </w:tc>
        <w:tc>
          <w:tcPr>
            <w:vMerge w:val="continue"/>
          </w:tcPr>
          <w:p/>
        </w:tc>
      </w:tr>
      <w:tr>
        <w:tc>
          <w:tcPr>
            <w:tcW w:w="514" w:type="dxa"/>
            <w:vAlign w:val="center"/>
          </w:tcPr>
          <w:p>
            <w:pPr>
              <w:pStyle w:val="0"/>
              <w:jc w:val="center"/>
            </w:pPr>
            <w:r>
              <w:rPr>
                <w:sz w:val="20"/>
              </w:rPr>
              <w:t xml:space="preserve">1</w:t>
            </w:r>
          </w:p>
        </w:tc>
        <w:tc>
          <w:tcPr>
            <w:tcW w:w="624" w:type="dxa"/>
            <w:vAlign w:val="center"/>
          </w:tcPr>
          <w:p>
            <w:pPr>
              <w:pStyle w:val="0"/>
              <w:jc w:val="center"/>
            </w:pPr>
            <w:r>
              <w:rPr>
                <w:sz w:val="20"/>
              </w:rPr>
              <w:t xml:space="preserve">2</w:t>
            </w:r>
          </w:p>
        </w:tc>
        <w:tc>
          <w:tcPr>
            <w:tcW w:w="2014" w:type="dxa"/>
            <w:vAlign w:val="center"/>
          </w:tcPr>
          <w:p>
            <w:pPr>
              <w:pStyle w:val="0"/>
              <w:jc w:val="center"/>
            </w:pPr>
            <w:r>
              <w:rPr>
                <w:sz w:val="20"/>
              </w:rPr>
              <w:t xml:space="preserve">3</w:t>
            </w:r>
          </w:p>
        </w:tc>
        <w:tc>
          <w:tcPr>
            <w:tcW w:w="907" w:type="dxa"/>
            <w:vAlign w:val="center"/>
          </w:tcPr>
          <w:p>
            <w:pPr>
              <w:pStyle w:val="0"/>
              <w:jc w:val="center"/>
            </w:pPr>
            <w:r>
              <w:rPr>
                <w:sz w:val="20"/>
              </w:rPr>
              <w:t xml:space="preserve">4</w:t>
            </w:r>
          </w:p>
        </w:tc>
        <w:tc>
          <w:tcPr>
            <w:tcW w:w="964" w:type="dxa"/>
            <w:vAlign w:val="center"/>
          </w:tcPr>
          <w:p>
            <w:pPr>
              <w:pStyle w:val="0"/>
              <w:jc w:val="center"/>
            </w:pPr>
            <w:r>
              <w:rPr>
                <w:sz w:val="20"/>
              </w:rPr>
              <w:t xml:space="preserve">5</w:t>
            </w:r>
          </w:p>
        </w:tc>
        <w:tc>
          <w:tcPr>
            <w:tcW w:w="1129" w:type="dxa"/>
            <w:vAlign w:val="center"/>
          </w:tcPr>
          <w:p>
            <w:pPr>
              <w:pStyle w:val="0"/>
              <w:jc w:val="center"/>
            </w:pPr>
            <w:r>
              <w:rPr>
                <w:sz w:val="20"/>
              </w:rPr>
              <w:t xml:space="preserve">6</w:t>
            </w:r>
          </w:p>
        </w:tc>
        <w:tc>
          <w:tcPr>
            <w:tcW w:w="737" w:type="dxa"/>
            <w:vAlign w:val="center"/>
          </w:tcPr>
          <w:p>
            <w:pPr>
              <w:pStyle w:val="0"/>
              <w:jc w:val="center"/>
            </w:pPr>
            <w:r>
              <w:rPr>
                <w:sz w:val="20"/>
              </w:rPr>
              <w:t xml:space="preserve">7</w:t>
            </w:r>
          </w:p>
        </w:tc>
        <w:tc>
          <w:tcPr>
            <w:tcW w:w="794" w:type="dxa"/>
            <w:vAlign w:val="center"/>
          </w:tcPr>
          <w:p>
            <w:pPr>
              <w:pStyle w:val="0"/>
              <w:jc w:val="center"/>
            </w:pPr>
            <w:r>
              <w:rPr>
                <w:sz w:val="20"/>
              </w:rPr>
              <w:t xml:space="preserve">8</w:t>
            </w:r>
          </w:p>
        </w:tc>
        <w:tc>
          <w:tcPr>
            <w:tcW w:w="1077" w:type="dxa"/>
            <w:vAlign w:val="center"/>
          </w:tcPr>
          <w:p>
            <w:pPr>
              <w:pStyle w:val="0"/>
              <w:jc w:val="center"/>
            </w:pPr>
            <w:r>
              <w:rPr>
                <w:sz w:val="20"/>
              </w:rPr>
              <w:t xml:space="preserve">9</w:t>
            </w:r>
          </w:p>
        </w:tc>
        <w:tc>
          <w:tcPr>
            <w:tcW w:w="994" w:type="dxa"/>
            <w:vAlign w:val="center"/>
          </w:tcPr>
          <w:p>
            <w:pPr>
              <w:pStyle w:val="0"/>
              <w:jc w:val="center"/>
            </w:pPr>
            <w:r>
              <w:rPr>
                <w:sz w:val="20"/>
              </w:rPr>
              <w:t xml:space="preserve">10</w:t>
            </w:r>
          </w:p>
        </w:tc>
        <w:tc>
          <w:tcPr>
            <w:tcW w:w="1134" w:type="dxa"/>
            <w:vAlign w:val="center"/>
          </w:tcPr>
          <w:p>
            <w:pPr>
              <w:pStyle w:val="0"/>
              <w:jc w:val="center"/>
            </w:pPr>
            <w:r>
              <w:rPr>
                <w:sz w:val="20"/>
              </w:rPr>
              <w:t xml:space="preserve">11</w:t>
            </w:r>
          </w:p>
        </w:tc>
        <w:tc>
          <w:tcPr>
            <w:tcW w:w="1304" w:type="dxa"/>
            <w:vAlign w:val="center"/>
          </w:tcPr>
          <w:p>
            <w:pPr>
              <w:pStyle w:val="0"/>
              <w:jc w:val="center"/>
            </w:pPr>
            <w:r>
              <w:rPr>
                <w:sz w:val="20"/>
              </w:rPr>
              <w:t xml:space="preserve">12</w:t>
            </w:r>
          </w:p>
        </w:tc>
        <w:tc>
          <w:tcPr>
            <w:tcW w:w="694" w:type="dxa"/>
            <w:vAlign w:val="center"/>
          </w:tcPr>
          <w:p>
            <w:pPr>
              <w:pStyle w:val="0"/>
              <w:jc w:val="center"/>
            </w:pPr>
            <w:r>
              <w:rPr>
                <w:sz w:val="20"/>
              </w:rPr>
              <w:t xml:space="preserve">13</w:t>
            </w:r>
          </w:p>
        </w:tc>
        <w:tc>
          <w:tcPr>
            <w:tcW w:w="1304" w:type="dxa"/>
            <w:vAlign w:val="center"/>
          </w:tcPr>
          <w:p>
            <w:pPr>
              <w:pStyle w:val="0"/>
              <w:jc w:val="center"/>
            </w:pPr>
            <w:r>
              <w:rPr>
                <w:sz w:val="20"/>
              </w:rPr>
              <w:t xml:space="preserve">14</w:t>
            </w:r>
          </w:p>
        </w:tc>
        <w:tc>
          <w:tcPr>
            <w:tcW w:w="964" w:type="dxa"/>
            <w:vAlign w:val="center"/>
          </w:tcPr>
          <w:p>
            <w:pPr>
              <w:pStyle w:val="0"/>
              <w:jc w:val="center"/>
            </w:pPr>
            <w:r>
              <w:rPr>
                <w:sz w:val="20"/>
              </w:rPr>
              <w:t xml:space="preserve">15</w:t>
            </w:r>
          </w:p>
        </w:tc>
        <w:tc>
          <w:tcPr>
            <w:tcW w:w="907" w:type="dxa"/>
            <w:vAlign w:val="center"/>
          </w:tcPr>
          <w:p>
            <w:pPr>
              <w:pStyle w:val="0"/>
              <w:jc w:val="center"/>
            </w:pPr>
            <w:r>
              <w:rPr>
                <w:sz w:val="20"/>
              </w:rPr>
              <w:t xml:space="preserve">16</w:t>
            </w:r>
          </w:p>
        </w:tc>
        <w:tc>
          <w:tcPr>
            <w:tcW w:w="1077" w:type="dxa"/>
            <w:vAlign w:val="center"/>
          </w:tcPr>
          <w:p>
            <w:pPr>
              <w:pStyle w:val="0"/>
              <w:jc w:val="center"/>
            </w:pPr>
            <w:r>
              <w:rPr>
                <w:sz w:val="20"/>
              </w:rPr>
              <w:t xml:space="preserve">17</w:t>
            </w:r>
          </w:p>
        </w:tc>
        <w:tc>
          <w:tcPr>
            <w:tcW w:w="1191" w:type="dxa"/>
            <w:vAlign w:val="center"/>
          </w:tcPr>
          <w:p>
            <w:pPr>
              <w:pStyle w:val="0"/>
              <w:jc w:val="center"/>
            </w:pPr>
            <w:r>
              <w:rPr>
                <w:sz w:val="20"/>
              </w:rPr>
              <w:t xml:space="preserve">18</w:t>
            </w:r>
          </w:p>
        </w:tc>
        <w:tc>
          <w:tcPr>
            <w:tcW w:w="1304" w:type="dxa"/>
            <w:vAlign w:val="center"/>
          </w:tcPr>
          <w:p>
            <w:pPr>
              <w:pStyle w:val="0"/>
              <w:jc w:val="center"/>
            </w:pPr>
            <w:r>
              <w:rPr>
                <w:sz w:val="20"/>
              </w:rPr>
              <w:t xml:space="preserve">19</w:t>
            </w:r>
          </w:p>
        </w:tc>
        <w:tc>
          <w:tcPr>
            <w:tcW w:w="907" w:type="dxa"/>
            <w:vAlign w:val="center"/>
          </w:tcPr>
          <w:p>
            <w:pPr>
              <w:pStyle w:val="0"/>
              <w:jc w:val="center"/>
            </w:pPr>
            <w:r>
              <w:rPr>
                <w:sz w:val="20"/>
              </w:rPr>
              <w:t xml:space="preserve">20</w:t>
            </w:r>
          </w:p>
        </w:tc>
        <w:tc>
          <w:tcPr>
            <w:tcW w:w="907" w:type="dxa"/>
            <w:vAlign w:val="center"/>
          </w:tcPr>
          <w:p>
            <w:pPr>
              <w:pStyle w:val="0"/>
              <w:jc w:val="center"/>
            </w:pPr>
            <w:r>
              <w:rPr>
                <w:sz w:val="20"/>
              </w:rPr>
              <w:t xml:space="preserve">21</w:t>
            </w:r>
          </w:p>
        </w:tc>
      </w:tr>
      <w:tr>
        <w:tc>
          <w:tcPr>
            <w:gridSpan w:val="3"/>
            <w:tcW w:w="3152" w:type="dxa"/>
          </w:tcPr>
          <w:p>
            <w:pPr>
              <w:pStyle w:val="0"/>
            </w:pPr>
            <w:r>
              <w:rPr>
                <w:sz w:val="20"/>
              </w:rPr>
              <w:t xml:space="preserve">Итого по Белгородской области на ________ годы:</w:t>
            </w:r>
          </w:p>
        </w:tc>
        <w:tc>
          <w:tcPr>
            <w:tcW w:w="907" w:type="dxa"/>
          </w:tcPr>
          <w:p>
            <w:pPr>
              <w:pStyle w:val="0"/>
            </w:pPr>
            <w:r>
              <w:rPr>
                <w:sz w:val="20"/>
              </w:rPr>
            </w:r>
          </w:p>
        </w:tc>
        <w:tc>
          <w:tcPr>
            <w:tcW w:w="964" w:type="dxa"/>
          </w:tcPr>
          <w:p>
            <w:pPr>
              <w:pStyle w:val="0"/>
            </w:pPr>
            <w:r>
              <w:rPr>
                <w:sz w:val="20"/>
              </w:rPr>
            </w:r>
          </w:p>
        </w:tc>
        <w:tc>
          <w:tcPr>
            <w:tcW w:w="1129" w:type="dxa"/>
          </w:tcPr>
          <w:p>
            <w:pPr>
              <w:pStyle w:val="0"/>
            </w:pPr>
            <w:r>
              <w:rPr>
                <w:sz w:val="20"/>
              </w:rPr>
            </w:r>
          </w:p>
        </w:tc>
        <w:tc>
          <w:tcPr>
            <w:tcW w:w="737" w:type="dxa"/>
          </w:tcPr>
          <w:p>
            <w:pPr>
              <w:pStyle w:val="0"/>
            </w:pPr>
            <w:r>
              <w:rPr>
                <w:sz w:val="20"/>
              </w:rPr>
            </w:r>
          </w:p>
        </w:tc>
        <w:tc>
          <w:tcPr>
            <w:tcW w:w="794" w:type="dxa"/>
          </w:tcPr>
          <w:p>
            <w:pPr>
              <w:pStyle w:val="0"/>
            </w:pPr>
            <w:r>
              <w:rPr>
                <w:sz w:val="20"/>
              </w:rPr>
            </w:r>
          </w:p>
        </w:tc>
        <w:tc>
          <w:tcPr>
            <w:tcW w:w="1077" w:type="dxa"/>
          </w:tcPr>
          <w:p>
            <w:pPr>
              <w:pStyle w:val="0"/>
            </w:pPr>
            <w:r>
              <w:rPr>
                <w:sz w:val="20"/>
              </w:rPr>
            </w:r>
          </w:p>
        </w:tc>
        <w:tc>
          <w:tcPr>
            <w:tcW w:w="994" w:type="dxa"/>
          </w:tcPr>
          <w:p>
            <w:pPr>
              <w:pStyle w:val="0"/>
            </w:pPr>
            <w:r>
              <w:rPr>
                <w:sz w:val="20"/>
              </w:rPr>
            </w:r>
          </w:p>
        </w:tc>
        <w:tc>
          <w:tcPr>
            <w:tcW w:w="1134" w:type="dxa"/>
          </w:tcPr>
          <w:p>
            <w:pPr>
              <w:pStyle w:val="0"/>
            </w:pPr>
            <w:r>
              <w:rPr>
                <w:sz w:val="20"/>
              </w:rPr>
            </w:r>
          </w:p>
        </w:tc>
        <w:tc>
          <w:tcPr>
            <w:tcW w:w="1304" w:type="dxa"/>
          </w:tcPr>
          <w:p>
            <w:pPr>
              <w:pStyle w:val="0"/>
            </w:pPr>
            <w:r>
              <w:rPr>
                <w:sz w:val="20"/>
              </w:rPr>
            </w:r>
          </w:p>
        </w:tc>
        <w:tc>
          <w:tcPr>
            <w:tcW w:w="694" w:type="dxa"/>
          </w:tcPr>
          <w:p>
            <w:pPr>
              <w:pStyle w:val="0"/>
            </w:pPr>
            <w:r>
              <w:rPr>
                <w:sz w:val="20"/>
              </w:rPr>
            </w:r>
          </w:p>
        </w:tc>
        <w:tc>
          <w:tcPr>
            <w:tcW w:w="1304" w:type="dxa"/>
          </w:tcPr>
          <w:p>
            <w:pPr>
              <w:pStyle w:val="0"/>
            </w:pPr>
            <w:r>
              <w:rPr>
                <w:sz w:val="20"/>
              </w:rPr>
            </w:r>
          </w:p>
        </w:tc>
        <w:tc>
          <w:tcPr>
            <w:tcW w:w="964" w:type="dxa"/>
          </w:tcPr>
          <w:p>
            <w:pPr>
              <w:pStyle w:val="0"/>
            </w:pPr>
            <w:r>
              <w:rPr>
                <w:sz w:val="20"/>
              </w:rPr>
            </w:r>
          </w:p>
        </w:tc>
        <w:tc>
          <w:tcPr>
            <w:tcW w:w="907" w:type="dxa"/>
          </w:tcPr>
          <w:p>
            <w:pPr>
              <w:pStyle w:val="0"/>
            </w:pPr>
            <w:r>
              <w:rPr>
                <w:sz w:val="20"/>
              </w:rPr>
            </w:r>
          </w:p>
        </w:tc>
        <w:tc>
          <w:tcPr>
            <w:tcW w:w="1077" w:type="dxa"/>
          </w:tcPr>
          <w:p>
            <w:pPr>
              <w:pStyle w:val="0"/>
            </w:pPr>
            <w:r>
              <w:rPr>
                <w:sz w:val="20"/>
              </w:rPr>
            </w:r>
          </w:p>
        </w:tc>
        <w:tc>
          <w:tcPr>
            <w:tcW w:w="1191" w:type="dxa"/>
          </w:tcPr>
          <w:p>
            <w:pPr>
              <w:pStyle w:val="0"/>
            </w:pPr>
            <w:r>
              <w:rPr>
                <w:sz w:val="20"/>
              </w:rPr>
            </w:r>
          </w:p>
        </w:tc>
        <w:tc>
          <w:tcPr>
            <w:tcW w:w="1304" w:type="dxa"/>
          </w:tcPr>
          <w:p>
            <w:pPr>
              <w:pStyle w:val="0"/>
            </w:pPr>
            <w:r>
              <w:rPr>
                <w:sz w:val="20"/>
              </w:rPr>
            </w:r>
          </w:p>
        </w:tc>
        <w:tc>
          <w:tcPr>
            <w:tcW w:w="907" w:type="dxa"/>
          </w:tcPr>
          <w:p>
            <w:pPr>
              <w:pStyle w:val="0"/>
            </w:pPr>
            <w:r>
              <w:rPr>
                <w:sz w:val="20"/>
              </w:rPr>
            </w:r>
          </w:p>
        </w:tc>
        <w:tc>
          <w:tcPr>
            <w:tcW w:w="907" w:type="dxa"/>
          </w:tcPr>
          <w:p>
            <w:pPr>
              <w:pStyle w:val="0"/>
            </w:pPr>
            <w:r>
              <w:rPr>
                <w:sz w:val="20"/>
              </w:rPr>
            </w:r>
          </w:p>
        </w:tc>
      </w:tr>
      <w:tr>
        <w:tc>
          <w:tcPr>
            <w:gridSpan w:val="3"/>
            <w:tcW w:w="3152" w:type="dxa"/>
          </w:tcPr>
          <w:p>
            <w:pPr>
              <w:pStyle w:val="0"/>
            </w:pPr>
            <w:r>
              <w:rPr>
                <w:sz w:val="20"/>
              </w:rPr>
              <w:t xml:space="preserve">Итого по Белгородской области на ____ год:</w:t>
            </w:r>
          </w:p>
        </w:tc>
        <w:tc>
          <w:tcPr>
            <w:tcW w:w="907" w:type="dxa"/>
          </w:tcPr>
          <w:p>
            <w:pPr>
              <w:pStyle w:val="0"/>
            </w:pPr>
            <w:r>
              <w:rPr>
                <w:sz w:val="20"/>
              </w:rPr>
            </w:r>
          </w:p>
        </w:tc>
        <w:tc>
          <w:tcPr>
            <w:tcW w:w="964" w:type="dxa"/>
          </w:tcPr>
          <w:p>
            <w:pPr>
              <w:pStyle w:val="0"/>
            </w:pPr>
            <w:r>
              <w:rPr>
                <w:sz w:val="20"/>
              </w:rPr>
            </w:r>
          </w:p>
        </w:tc>
        <w:tc>
          <w:tcPr>
            <w:tcW w:w="1129" w:type="dxa"/>
          </w:tcPr>
          <w:p>
            <w:pPr>
              <w:pStyle w:val="0"/>
            </w:pPr>
            <w:r>
              <w:rPr>
                <w:sz w:val="20"/>
              </w:rPr>
            </w:r>
          </w:p>
        </w:tc>
        <w:tc>
          <w:tcPr>
            <w:tcW w:w="737" w:type="dxa"/>
          </w:tcPr>
          <w:p>
            <w:pPr>
              <w:pStyle w:val="0"/>
            </w:pPr>
            <w:r>
              <w:rPr>
                <w:sz w:val="20"/>
              </w:rPr>
            </w:r>
          </w:p>
        </w:tc>
        <w:tc>
          <w:tcPr>
            <w:tcW w:w="794" w:type="dxa"/>
          </w:tcPr>
          <w:p>
            <w:pPr>
              <w:pStyle w:val="0"/>
            </w:pPr>
            <w:r>
              <w:rPr>
                <w:sz w:val="20"/>
              </w:rPr>
            </w:r>
          </w:p>
        </w:tc>
        <w:tc>
          <w:tcPr>
            <w:tcW w:w="1077" w:type="dxa"/>
          </w:tcPr>
          <w:p>
            <w:pPr>
              <w:pStyle w:val="0"/>
            </w:pPr>
            <w:r>
              <w:rPr>
                <w:sz w:val="20"/>
              </w:rPr>
            </w:r>
          </w:p>
        </w:tc>
        <w:tc>
          <w:tcPr>
            <w:tcW w:w="994" w:type="dxa"/>
          </w:tcPr>
          <w:p>
            <w:pPr>
              <w:pStyle w:val="0"/>
            </w:pPr>
            <w:r>
              <w:rPr>
                <w:sz w:val="20"/>
              </w:rPr>
            </w:r>
          </w:p>
        </w:tc>
        <w:tc>
          <w:tcPr>
            <w:tcW w:w="1134" w:type="dxa"/>
          </w:tcPr>
          <w:p>
            <w:pPr>
              <w:pStyle w:val="0"/>
            </w:pPr>
            <w:r>
              <w:rPr>
                <w:sz w:val="20"/>
              </w:rPr>
            </w:r>
          </w:p>
        </w:tc>
        <w:tc>
          <w:tcPr>
            <w:tcW w:w="1304" w:type="dxa"/>
          </w:tcPr>
          <w:p>
            <w:pPr>
              <w:pStyle w:val="0"/>
            </w:pPr>
            <w:r>
              <w:rPr>
                <w:sz w:val="20"/>
              </w:rPr>
            </w:r>
          </w:p>
        </w:tc>
        <w:tc>
          <w:tcPr>
            <w:tcW w:w="694" w:type="dxa"/>
          </w:tcPr>
          <w:p>
            <w:pPr>
              <w:pStyle w:val="0"/>
            </w:pPr>
            <w:r>
              <w:rPr>
                <w:sz w:val="20"/>
              </w:rPr>
            </w:r>
          </w:p>
        </w:tc>
        <w:tc>
          <w:tcPr>
            <w:tcW w:w="1304" w:type="dxa"/>
          </w:tcPr>
          <w:p>
            <w:pPr>
              <w:pStyle w:val="0"/>
            </w:pPr>
            <w:r>
              <w:rPr>
                <w:sz w:val="20"/>
              </w:rPr>
            </w:r>
          </w:p>
        </w:tc>
        <w:tc>
          <w:tcPr>
            <w:tcW w:w="964" w:type="dxa"/>
          </w:tcPr>
          <w:p>
            <w:pPr>
              <w:pStyle w:val="0"/>
            </w:pPr>
            <w:r>
              <w:rPr>
                <w:sz w:val="20"/>
              </w:rPr>
            </w:r>
          </w:p>
        </w:tc>
        <w:tc>
          <w:tcPr>
            <w:tcW w:w="907" w:type="dxa"/>
          </w:tcPr>
          <w:p>
            <w:pPr>
              <w:pStyle w:val="0"/>
            </w:pPr>
            <w:r>
              <w:rPr>
                <w:sz w:val="20"/>
              </w:rPr>
            </w:r>
          </w:p>
        </w:tc>
        <w:tc>
          <w:tcPr>
            <w:tcW w:w="1077" w:type="dxa"/>
          </w:tcPr>
          <w:p>
            <w:pPr>
              <w:pStyle w:val="0"/>
            </w:pPr>
            <w:r>
              <w:rPr>
                <w:sz w:val="20"/>
              </w:rPr>
            </w:r>
          </w:p>
        </w:tc>
        <w:tc>
          <w:tcPr>
            <w:tcW w:w="1191" w:type="dxa"/>
          </w:tcPr>
          <w:p>
            <w:pPr>
              <w:pStyle w:val="0"/>
            </w:pPr>
            <w:r>
              <w:rPr>
                <w:sz w:val="20"/>
              </w:rPr>
            </w:r>
          </w:p>
        </w:tc>
        <w:tc>
          <w:tcPr>
            <w:tcW w:w="1304" w:type="dxa"/>
          </w:tcPr>
          <w:p>
            <w:pPr>
              <w:pStyle w:val="0"/>
            </w:pPr>
            <w:r>
              <w:rPr>
                <w:sz w:val="20"/>
              </w:rPr>
            </w:r>
          </w:p>
        </w:tc>
        <w:tc>
          <w:tcPr>
            <w:tcW w:w="907" w:type="dxa"/>
          </w:tcPr>
          <w:p>
            <w:pPr>
              <w:pStyle w:val="0"/>
            </w:pPr>
            <w:r>
              <w:rPr>
                <w:sz w:val="20"/>
              </w:rPr>
            </w:r>
          </w:p>
        </w:tc>
        <w:tc>
          <w:tcPr>
            <w:tcW w:w="907" w:type="dxa"/>
          </w:tcPr>
          <w:p>
            <w:pPr>
              <w:pStyle w:val="0"/>
            </w:pPr>
            <w:r>
              <w:rPr>
                <w:sz w:val="20"/>
              </w:rPr>
            </w:r>
          </w:p>
        </w:tc>
      </w:tr>
      <w:tr>
        <w:tc>
          <w:tcPr>
            <w:gridSpan w:val="3"/>
            <w:tcW w:w="3152" w:type="dxa"/>
          </w:tcPr>
          <w:p>
            <w:pPr>
              <w:pStyle w:val="0"/>
            </w:pPr>
            <w:r>
              <w:rPr>
                <w:sz w:val="20"/>
              </w:rPr>
              <w:t xml:space="preserve">Итого по МО1</w:t>
            </w:r>
          </w:p>
        </w:tc>
        <w:tc>
          <w:tcPr>
            <w:tcW w:w="907" w:type="dxa"/>
          </w:tcPr>
          <w:p>
            <w:pPr>
              <w:pStyle w:val="0"/>
            </w:pPr>
            <w:r>
              <w:rPr>
                <w:sz w:val="20"/>
              </w:rPr>
            </w:r>
          </w:p>
        </w:tc>
        <w:tc>
          <w:tcPr>
            <w:tcW w:w="964" w:type="dxa"/>
          </w:tcPr>
          <w:p>
            <w:pPr>
              <w:pStyle w:val="0"/>
            </w:pPr>
            <w:r>
              <w:rPr>
                <w:sz w:val="20"/>
              </w:rPr>
            </w:r>
          </w:p>
        </w:tc>
        <w:tc>
          <w:tcPr>
            <w:tcW w:w="1129" w:type="dxa"/>
          </w:tcPr>
          <w:p>
            <w:pPr>
              <w:pStyle w:val="0"/>
            </w:pPr>
            <w:r>
              <w:rPr>
                <w:sz w:val="20"/>
              </w:rPr>
            </w:r>
          </w:p>
        </w:tc>
        <w:tc>
          <w:tcPr>
            <w:tcW w:w="737" w:type="dxa"/>
          </w:tcPr>
          <w:p>
            <w:pPr>
              <w:pStyle w:val="0"/>
            </w:pPr>
            <w:r>
              <w:rPr>
                <w:sz w:val="20"/>
              </w:rPr>
            </w:r>
          </w:p>
        </w:tc>
        <w:tc>
          <w:tcPr>
            <w:tcW w:w="794" w:type="dxa"/>
          </w:tcPr>
          <w:p>
            <w:pPr>
              <w:pStyle w:val="0"/>
            </w:pPr>
            <w:r>
              <w:rPr>
                <w:sz w:val="20"/>
              </w:rPr>
            </w:r>
          </w:p>
        </w:tc>
        <w:tc>
          <w:tcPr>
            <w:tcW w:w="1077" w:type="dxa"/>
          </w:tcPr>
          <w:p>
            <w:pPr>
              <w:pStyle w:val="0"/>
            </w:pPr>
            <w:r>
              <w:rPr>
                <w:sz w:val="20"/>
              </w:rPr>
            </w:r>
          </w:p>
        </w:tc>
        <w:tc>
          <w:tcPr>
            <w:tcW w:w="994" w:type="dxa"/>
          </w:tcPr>
          <w:p>
            <w:pPr>
              <w:pStyle w:val="0"/>
            </w:pPr>
            <w:r>
              <w:rPr>
                <w:sz w:val="20"/>
              </w:rPr>
            </w:r>
          </w:p>
        </w:tc>
        <w:tc>
          <w:tcPr>
            <w:tcW w:w="1134" w:type="dxa"/>
          </w:tcPr>
          <w:p>
            <w:pPr>
              <w:pStyle w:val="0"/>
            </w:pPr>
            <w:r>
              <w:rPr>
                <w:sz w:val="20"/>
              </w:rPr>
            </w:r>
          </w:p>
        </w:tc>
        <w:tc>
          <w:tcPr>
            <w:tcW w:w="1304" w:type="dxa"/>
          </w:tcPr>
          <w:p>
            <w:pPr>
              <w:pStyle w:val="0"/>
            </w:pPr>
            <w:r>
              <w:rPr>
                <w:sz w:val="20"/>
              </w:rPr>
            </w:r>
          </w:p>
        </w:tc>
        <w:tc>
          <w:tcPr>
            <w:tcW w:w="694" w:type="dxa"/>
          </w:tcPr>
          <w:p>
            <w:pPr>
              <w:pStyle w:val="0"/>
            </w:pPr>
            <w:r>
              <w:rPr>
                <w:sz w:val="20"/>
              </w:rPr>
            </w:r>
          </w:p>
        </w:tc>
        <w:tc>
          <w:tcPr>
            <w:tcW w:w="1304" w:type="dxa"/>
          </w:tcPr>
          <w:p>
            <w:pPr>
              <w:pStyle w:val="0"/>
            </w:pPr>
            <w:r>
              <w:rPr>
                <w:sz w:val="20"/>
              </w:rPr>
            </w:r>
          </w:p>
        </w:tc>
        <w:tc>
          <w:tcPr>
            <w:tcW w:w="964" w:type="dxa"/>
          </w:tcPr>
          <w:p>
            <w:pPr>
              <w:pStyle w:val="0"/>
            </w:pPr>
            <w:r>
              <w:rPr>
                <w:sz w:val="20"/>
              </w:rPr>
            </w:r>
          </w:p>
        </w:tc>
        <w:tc>
          <w:tcPr>
            <w:tcW w:w="907" w:type="dxa"/>
          </w:tcPr>
          <w:p>
            <w:pPr>
              <w:pStyle w:val="0"/>
            </w:pPr>
            <w:r>
              <w:rPr>
                <w:sz w:val="20"/>
              </w:rPr>
            </w:r>
          </w:p>
        </w:tc>
        <w:tc>
          <w:tcPr>
            <w:tcW w:w="1077" w:type="dxa"/>
          </w:tcPr>
          <w:p>
            <w:pPr>
              <w:pStyle w:val="0"/>
            </w:pPr>
            <w:r>
              <w:rPr>
                <w:sz w:val="20"/>
              </w:rPr>
            </w:r>
          </w:p>
        </w:tc>
        <w:tc>
          <w:tcPr>
            <w:tcW w:w="1191" w:type="dxa"/>
          </w:tcPr>
          <w:p>
            <w:pPr>
              <w:pStyle w:val="0"/>
            </w:pPr>
            <w:r>
              <w:rPr>
                <w:sz w:val="20"/>
              </w:rPr>
            </w:r>
          </w:p>
        </w:tc>
        <w:tc>
          <w:tcPr>
            <w:tcW w:w="1304" w:type="dxa"/>
          </w:tcPr>
          <w:p>
            <w:pPr>
              <w:pStyle w:val="0"/>
            </w:pPr>
            <w:r>
              <w:rPr>
                <w:sz w:val="20"/>
              </w:rPr>
            </w:r>
          </w:p>
        </w:tc>
        <w:tc>
          <w:tcPr>
            <w:tcW w:w="907" w:type="dxa"/>
          </w:tcPr>
          <w:p>
            <w:pPr>
              <w:pStyle w:val="0"/>
            </w:pPr>
            <w:r>
              <w:rPr>
                <w:sz w:val="20"/>
              </w:rPr>
            </w:r>
          </w:p>
        </w:tc>
        <w:tc>
          <w:tcPr>
            <w:tcW w:w="907" w:type="dxa"/>
          </w:tcPr>
          <w:p>
            <w:pPr>
              <w:pStyle w:val="0"/>
            </w:pPr>
            <w:r>
              <w:rPr>
                <w:sz w:val="20"/>
              </w:rPr>
            </w:r>
          </w:p>
        </w:tc>
      </w:tr>
      <w:tr>
        <w:tc>
          <w:tcPr>
            <w:tcW w:w="514" w:type="dxa"/>
            <w:vAlign w:val="center"/>
          </w:tcPr>
          <w:p>
            <w:pPr>
              <w:pStyle w:val="0"/>
              <w:jc w:val="center"/>
            </w:pPr>
            <w:r>
              <w:rPr>
                <w:sz w:val="20"/>
              </w:rPr>
              <w:t xml:space="preserve">1</w:t>
            </w:r>
          </w:p>
        </w:tc>
        <w:tc>
          <w:tcPr>
            <w:tcW w:w="624" w:type="dxa"/>
            <w:vAlign w:val="center"/>
          </w:tcPr>
          <w:p>
            <w:pPr>
              <w:pStyle w:val="0"/>
              <w:jc w:val="center"/>
            </w:pPr>
            <w:r>
              <w:rPr>
                <w:sz w:val="20"/>
              </w:rPr>
              <w:t xml:space="preserve">1</w:t>
            </w:r>
          </w:p>
        </w:tc>
        <w:tc>
          <w:tcPr>
            <w:tcW w:w="2014" w:type="dxa"/>
          </w:tcPr>
          <w:p>
            <w:pPr>
              <w:pStyle w:val="0"/>
            </w:pPr>
            <w:r>
              <w:rPr>
                <w:sz w:val="20"/>
              </w:rPr>
            </w:r>
          </w:p>
        </w:tc>
        <w:tc>
          <w:tcPr>
            <w:tcW w:w="907" w:type="dxa"/>
          </w:tcPr>
          <w:p>
            <w:pPr>
              <w:pStyle w:val="0"/>
            </w:pPr>
            <w:r>
              <w:rPr>
                <w:sz w:val="20"/>
              </w:rPr>
            </w:r>
          </w:p>
        </w:tc>
        <w:tc>
          <w:tcPr>
            <w:tcW w:w="964" w:type="dxa"/>
          </w:tcPr>
          <w:p>
            <w:pPr>
              <w:pStyle w:val="0"/>
            </w:pPr>
            <w:r>
              <w:rPr>
                <w:sz w:val="20"/>
              </w:rPr>
            </w:r>
          </w:p>
        </w:tc>
        <w:tc>
          <w:tcPr>
            <w:tcW w:w="1129" w:type="dxa"/>
          </w:tcPr>
          <w:p>
            <w:pPr>
              <w:pStyle w:val="0"/>
            </w:pPr>
            <w:r>
              <w:rPr>
                <w:sz w:val="20"/>
              </w:rPr>
            </w:r>
          </w:p>
        </w:tc>
        <w:tc>
          <w:tcPr>
            <w:tcW w:w="737" w:type="dxa"/>
          </w:tcPr>
          <w:p>
            <w:pPr>
              <w:pStyle w:val="0"/>
            </w:pPr>
            <w:r>
              <w:rPr>
                <w:sz w:val="20"/>
              </w:rPr>
            </w:r>
          </w:p>
        </w:tc>
        <w:tc>
          <w:tcPr>
            <w:tcW w:w="794" w:type="dxa"/>
          </w:tcPr>
          <w:p>
            <w:pPr>
              <w:pStyle w:val="0"/>
            </w:pPr>
            <w:r>
              <w:rPr>
                <w:sz w:val="20"/>
              </w:rPr>
            </w:r>
          </w:p>
        </w:tc>
        <w:tc>
          <w:tcPr>
            <w:tcW w:w="1077" w:type="dxa"/>
          </w:tcPr>
          <w:p>
            <w:pPr>
              <w:pStyle w:val="0"/>
            </w:pPr>
            <w:r>
              <w:rPr>
                <w:sz w:val="20"/>
              </w:rPr>
            </w:r>
          </w:p>
        </w:tc>
        <w:tc>
          <w:tcPr>
            <w:tcW w:w="994" w:type="dxa"/>
          </w:tcPr>
          <w:p>
            <w:pPr>
              <w:pStyle w:val="0"/>
            </w:pPr>
            <w:r>
              <w:rPr>
                <w:sz w:val="20"/>
              </w:rPr>
            </w:r>
          </w:p>
        </w:tc>
        <w:tc>
          <w:tcPr>
            <w:tcW w:w="1134" w:type="dxa"/>
          </w:tcPr>
          <w:p>
            <w:pPr>
              <w:pStyle w:val="0"/>
            </w:pPr>
            <w:r>
              <w:rPr>
                <w:sz w:val="20"/>
              </w:rPr>
            </w:r>
          </w:p>
        </w:tc>
        <w:tc>
          <w:tcPr>
            <w:tcW w:w="1304" w:type="dxa"/>
          </w:tcPr>
          <w:p>
            <w:pPr>
              <w:pStyle w:val="0"/>
            </w:pPr>
            <w:r>
              <w:rPr>
                <w:sz w:val="20"/>
              </w:rPr>
            </w:r>
          </w:p>
        </w:tc>
        <w:tc>
          <w:tcPr>
            <w:tcW w:w="694" w:type="dxa"/>
          </w:tcPr>
          <w:p>
            <w:pPr>
              <w:pStyle w:val="0"/>
            </w:pPr>
            <w:r>
              <w:rPr>
                <w:sz w:val="20"/>
              </w:rPr>
            </w:r>
          </w:p>
        </w:tc>
        <w:tc>
          <w:tcPr>
            <w:tcW w:w="1304" w:type="dxa"/>
          </w:tcPr>
          <w:p>
            <w:pPr>
              <w:pStyle w:val="0"/>
            </w:pPr>
            <w:r>
              <w:rPr>
                <w:sz w:val="20"/>
              </w:rPr>
            </w:r>
          </w:p>
        </w:tc>
        <w:tc>
          <w:tcPr>
            <w:tcW w:w="964" w:type="dxa"/>
          </w:tcPr>
          <w:p>
            <w:pPr>
              <w:pStyle w:val="0"/>
            </w:pPr>
            <w:r>
              <w:rPr>
                <w:sz w:val="20"/>
              </w:rPr>
            </w:r>
          </w:p>
        </w:tc>
        <w:tc>
          <w:tcPr>
            <w:tcW w:w="907" w:type="dxa"/>
          </w:tcPr>
          <w:p>
            <w:pPr>
              <w:pStyle w:val="0"/>
            </w:pPr>
            <w:r>
              <w:rPr>
                <w:sz w:val="20"/>
              </w:rPr>
            </w:r>
          </w:p>
        </w:tc>
        <w:tc>
          <w:tcPr>
            <w:tcW w:w="1077" w:type="dxa"/>
          </w:tcPr>
          <w:p>
            <w:pPr>
              <w:pStyle w:val="0"/>
            </w:pPr>
            <w:r>
              <w:rPr>
                <w:sz w:val="20"/>
              </w:rPr>
            </w:r>
          </w:p>
        </w:tc>
        <w:tc>
          <w:tcPr>
            <w:tcW w:w="1191" w:type="dxa"/>
          </w:tcPr>
          <w:p>
            <w:pPr>
              <w:pStyle w:val="0"/>
            </w:pPr>
            <w:r>
              <w:rPr>
                <w:sz w:val="20"/>
              </w:rPr>
            </w:r>
          </w:p>
        </w:tc>
        <w:tc>
          <w:tcPr>
            <w:tcW w:w="1304" w:type="dxa"/>
          </w:tcPr>
          <w:p>
            <w:pPr>
              <w:pStyle w:val="0"/>
            </w:pPr>
            <w:r>
              <w:rPr>
                <w:sz w:val="20"/>
              </w:rPr>
            </w:r>
          </w:p>
        </w:tc>
        <w:tc>
          <w:tcPr>
            <w:tcW w:w="907" w:type="dxa"/>
          </w:tcPr>
          <w:p>
            <w:pPr>
              <w:pStyle w:val="0"/>
            </w:pPr>
            <w:r>
              <w:rPr>
                <w:sz w:val="20"/>
              </w:rPr>
            </w:r>
          </w:p>
        </w:tc>
        <w:tc>
          <w:tcPr>
            <w:tcW w:w="907" w:type="dxa"/>
          </w:tcPr>
          <w:p>
            <w:pPr>
              <w:pStyle w:val="0"/>
            </w:pPr>
            <w:r>
              <w:rPr>
                <w:sz w:val="20"/>
              </w:rPr>
            </w:r>
          </w:p>
        </w:tc>
      </w:tr>
      <w:tr>
        <w:tc>
          <w:tcPr>
            <w:tcW w:w="514" w:type="dxa"/>
          </w:tcPr>
          <w:p>
            <w:pPr>
              <w:pStyle w:val="0"/>
              <w:jc w:val="center"/>
            </w:pPr>
            <w:r>
              <w:rPr>
                <w:sz w:val="20"/>
              </w:rPr>
              <w:t xml:space="preserve">...</w:t>
            </w:r>
          </w:p>
        </w:tc>
        <w:tc>
          <w:tcPr>
            <w:tcW w:w="624" w:type="dxa"/>
          </w:tcPr>
          <w:p>
            <w:pPr>
              <w:pStyle w:val="0"/>
              <w:jc w:val="center"/>
            </w:pPr>
            <w:r>
              <w:rPr>
                <w:sz w:val="20"/>
              </w:rPr>
              <w:t xml:space="preserve">...</w:t>
            </w:r>
          </w:p>
        </w:tc>
        <w:tc>
          <w:tcPr>
            <w:tcW w:w="2014" w:type="dxa"/>
          </w:tcPr>
          <w:p>
            <w:pPr>
              <w:pStyle w:val="0"/>
            </w:pPr>
            <w:r>
              <w:rPr>
                <w:sz w:val="20"/>
              </w:rPr>
            </w:r>
          </w:p>
        </w:tc>
        <w:tc>
          <w:tcPr>
            <w:tcW w:w="907" w:type="dxa"/>
          </w:tcPr>
          <w:p>
            <w:pPr>
              <w:pStyle w:val="0"/>
            </w:pPr>
            <w:r>
              <w:rPr>
                <w:sz w:val="20"/>
              </w:rPr>
            </w:r>
          </w:p>
        </w:tc>
        <w:tc>
          <w:tcPr>
            <w:tcW w:w="964" w:type="dxa"/>
          </w:tcPr>
          <w:p>
            <w:pPr>
              <w:pStyle w:val="0"/>
            </w:pPr>
            <w:r>
              <w:rPr>
                <w:sz w:val="20"/>
              </w:rPr>
            </w:r>
          </w:p>
        </w:tc>
        <w:tc>
          <w:tcPr>
            <w:tcW w:w="1129" w:type="dxa"/>
          </w:tcPr>
          <w:p>
            <w:pPr>
              <w:pStyle w:val="0"/>
            </w:pPr>
            <w:r>
              <w:rPr>
                <w:sz w:val="20"/>
              </w:rPr>
            </w:r>
          </w:p>
        </w:tc>
        <w:tc>
          <w:tcPr>
            <w:tcW w:w="737" w:type="dxa"/>
          </w:tcPr>
          <w:p>
            <w:pPr>
              <w:pStyle w:val="0"/>
            </w:pPr>
            <w:r>
              <w:rPr>
                <w:sz w:val="20"/>
              </w:rPr>
            </w:r>
          </w:p>
        </w:tc>
        <w:tc>
          <w:tcPr>
            <w:tcW w:w="794" w:type="dxa"/>
          </w:tcPr>
          <w:p>
            <w:pPr>
              <w:pStyle w:val="0"/>
            </w:pPr>
            <w:r>
              <w:rPr>
                <w:sz w:val="20"/>
              </w:rPr>
            </w:r>
          </w:p>
        </w:tc>
        <w:tc>
          <w:tcPr>
            <w:tcW w:w="1077" w:type="dxa"/>
          </w:tcPr>
          <w:p>
            <w:pPr>
              <w:pStyle w:val="0"/>
            </w:pPr>
            <w:r>
              <w:rPr>
                <w:sz w:val="20"/>
              </w:rPr>
            </w:r>
          </w:p>
        </w:tc>
        <w:tc>
          <w:tcPr>
            <w:tcW w:w="994" w:type="dxa"/>
          </w:tcPr>
          <w:p>
            <w:pPr>
              <w:pStyle w:val="0"/>
            </w:pPr>
            <w:r>
              <w:rPr>
                <w:sz w:val="20"/>
              </w:rPr>
            </w:r>
          </w:p>
        </w:tc>
        <w:tc>
          <w:tcPr>
            <w:tcW w:w="1134" w:type="dxa"/>
          </w:tcPr>
          <w:p>
            <w:pPr>
              <w:pStyle w:val="0"/>
            </w:pPr>
            <w:r>
              <w:rPr>
                <w:sz w:val="20"/>
              </w:rPr>
            </w:r>
          </w:p>
        </w:tc>
        <w:tc>
          <w:tcPr>
            <w:tcW w:w="1304" w:type="dxa"/>
          </w:tcPr>
          <w:p>
            <w:pPr>
              <w:pStyle w:val="0"/>
            </w:pPr>
            <w:r>
              <w:rPr>
                <w:sz w:val="20"/>
              </w:rPr>
            </w:r>
          </w:p>
        </w:tc>
        <w:tc>
          <w:tcPr>
            <w:tcW w:w="694" w:type="dxa"/>
          </w:tcPr>
          <w:p>
            <w:pPr>
              <w:pStyle w:val="0"/>
            </w:pPr>
            <w:r>
              <w:rPr>
                <w:sz w:val="20"/>
              </w:rPr>
            </w:r>
          </w:p>
        </w:tc>
        <w:tc>
          <w:tcPr>
            <w:tcW w:w="1304" w:type="dxa"/>
          </w:tcPr>
          <w:p>
            <w:pPr>
              <w:pStyle w:val="0"/>
            </w:pPr>
            <w:r>
              <w:rPr>
                <w:sz w:val="20"/>
              </w:rPr>
            </w:r>
          </w:p>
        </w:tc>
        <w:tc>
          <w:tcPr>
            <w:tcW w:w="964" w:type="dxa"/>
          </w:tcPr>
          <w:p>
            <w:pPr>
              <w:pStyle w:val="0"/>
            </w:pPr>
            <w:r>
              <w:rPr>
                <w:sz w:val="20"/>
              </w:rPr>
            </w:r>
          </w:p>
        </w:tc>
        <w:tc>
          <w:tcPr>
            <w:tcW w:w="907" w:type="dxa"/>
          </w:tcPr>
          <w:p>
            <w:pPr>
              <w:pStyle w:val="0"/>
            </w:pPr>
            <w:r>
              <w:rPr>
                <w:sz w:val="20"/>
              </w:rPr>
            </w:r>
          </w:p>
        </w:tc>
        <w:tc>
          <w:tcPr>
            <w:tcW w:w="1077" w:type="dxa"/>
          </w:tcPr>
          <w:p>
            <w:pPr>
              <w:pStyle w:val="0"/>
            </w:pPr>
            <w:r>
              <w:rPr>
                <w:sz w:val="20"/>
              </w:rPr>
            </w:r>
          </w:p>
        </w:tc>
        <w:tc>
          <w:tcPr>
            <w:tcW w:w="1191" w:type="dxa"/>
          </w:tcPr>
          <w:p>
            <w:pPr>
              <w:pStyle w:val="0"/>
            </w:pPr>
            <w:r>
              <w:rPr>
                <w:sz w:val="20"/>
              </w:rPr>
            </w:r>
          </w:p>
        </w:tc>
        <w:tc>
          <w:tcPr>
            <w:tcW w:w="1304" w:type="dxa"/>
          </w:tcPr>
          <w:p>
            <w:pPr>
              <w:pStyle w:val="0"/>
            </w:pPr>
            <w:r>
              <w:rPr>
                <w:sz w:val="20"/>
              </w:rPr>
            </w:r>
          </w:p>
        </w:tc>
        <w:tc>
          <w:tcPr>
            <w:tcW w:w="907" w:type="dxa"/>
          </w:tcPr>
          <w:p>
            <w:pPr>
              <w:pStyle w:val="0"/>
            </w:pPr>
            <w:r>
              <w:rPr>
                <w:sz w:val="20"/>
              </w:rPr>
            </w:r>
          </w:p>
        </w:tc>
        <w:tc>
          <w:tcPr>
            <w:tcW w:w="907" w:type="dxa"/>
          </w:tcPr>
          <w:p>
            <w:pPr>
              <w:pStyle w:val="0"/>
            </w:pPr>
            <w:r>
              <w:rPr>
                <w:sz w:val="20"/>
              </w:rPr>
            </w:r>
          </w:p>
        </w:tc>
      </w:tr>
      <w:tr>
        <w:tc>
          <w:tcPr>
            <w:tcW w:w="514" w:type="dxa"/>
            <w:vAlign w:val="center"/>
          </w:tcPr>
          <w:p>
            <w:pPr>
              <w:pStyle w:val="0"/>
              <w:jc w:val="center"/>
            </w:pPr>
            <w:r>
              <w:rPr>
                <w:sz w:val="20"/>
              </w:rPr>
              <w:t xml:space="preserve">n</w:t>
            </w:r>
          </w:p>
        </w:tc>
        <w:tc>
          <w:tcPr>
            <w:tcW w:w="624" w:type="dxa"/>
            <w:vAlign w:val="center"/>
          </w:tcPr>
          <w:p>
            <w:pPr>
              <w:pStyle w:val="0"/>
              <w:jc w:val="center"/>
            </w:pPr>
            <w:r>
              <w:rPr>
                <w:sz w:val="20"/>
              </w:rPr>
              <w:t xml:space="preserve">m</w:t>
            </w:r>
          </w:p>
        </w:tc>
        <w:tc>
          <w:tcPr>
            <w:tcW w:w="2014" w:type="dxa"/>
          </w:tcPr>
          <w:p>
            <w:pPr>
              <w:pStyle w:val="0"/>
            </w:pPr>
            <w:r>
              <w:rPr>
                <w:sz w:val="20"/>
              </w:rPr>
            </w:r>
          </w:p>
        </w:tc>
        <w:tc>
          <w:tcPr>
            <w:tcW w:w="907" w:type="dxa"/>
          </w:tcPr>
          <w:p>
            <w:pPr>
              <w:pStyle w:val="0"/>
            </w:pPr>
            <w:r>
              <w:rPr>
                <w:sz w:val="20"/>
              </w:rPr>
            </w:r>
          </w:p>
        </w:tc>
        <w:tc>
          <w:tcPr>
            <w:tcW w:w="964" w:type="dxa"/>
          </w:tcPr>
          <w:p>
            <w:pPr>
              <w:pStyle w:val="0"/>
            </w:pPr>
            <w:r>
              <w:rPr>
                <w:sz w:val="20"/>
              </w:rPr>
            </w:r>
          </w:p>
        </w:tc>
        <w:tc>
          <w:tcPr>
            <w:tcW w:w="1129" w:type="dxa"/>
          </w:tcPr>
          <w:p>
            <w:pPr>
              <w:pStyle w:val="0"/>
            </w:pPr>
            <w:r>
              <w:rPr>
                <w:sz w:val="20"/>
              </w:rPr>
            </w:r>
          </w:p>
        </w:tc>
        <w:tc>
          <w:tcPr>
            <w:tcW w:w="737" w:type="dxa"/>
          </w:tcPr>
          <w:p>
            <w:pPr>
              <w:pStyle w:val="0"/>
            </w:pPr>
            <w:r>
              <w:rPr>
                <w:sz w:val="20"/>
              </w:rPr>
            </w:r>
          </w:p>
        </w:tc>
        <w:tc>
          <w:tcPr>
            <w:tcW w:w="794" w:type="dxa"/>
          </w:tcPr>
          <w:p>
            <w:pPr>
              <w:pStyle w:val="0"/>
            </w:pPr>
            <w:r>
              <w:rPr>
                <w:sz w:val="20"/>
              </w:rPr>
            </w:r>
          </w:p>
        </w:tc>
        <w:tc>
          <w:tcPr>
            <w:tcW w:w="1077" w:type="dxa"/>
          </w:tcPr>
          <w:p>
            <w:pPr>
              <w:pStyle w:val="0"/>
            </w:pPr>
            <w:r>
              <w:rPr>
                <w:sz w:val="20"/>
              </w:rPr>
            </w:r>
          </w:p>
        </w:tc>
        <w:tc>
          <w:tcPr>
            <w:tcW w:w="994" w:type="dxa"/>
          </w:tcPr>
          <w:p>
            <w:pPr>
              <w:pStyle w:val="0"/>
            </w:pPr>
            <w:r>
              <w:rPr>
                <w:sz w:val="20"/>
              </w:rPr>
            </w:r>
          </w:p>
        </w:tc>
        <w:tc>
          <w:tcPr>
            <w:tcW w:w="1134" w:type="dxa"/>
          </w:tcPr>
          <w:p>
            <w:pPr>
              <w:pStyle w:val="0"/>
            </w:pPr>
            <w:r>
              <w:rPr>
                <w:sz w:val="20"/>
              </w:rPr>
            </w:r>
          </w:p>
        </w:tc>
        <w:tc>
          <w:tcPr>
            <w:tcW w:w="1304" w:type="dxa"/>
          </w:tcPr>
          <w:p>
            <w:pPr>
              <w:pStyle w:val="0"/>
            </w:pPr>
            <w:r>
              <w:rPr>
                <w:sz w:val="20"/>
              </w:rPr>
            </w:r>
          </w:p>
        </w:tc>
        <w:tc>
          <w:tcPr>
            <w:tcW w:w="694" w:type="dxa"/>
          </w:tcPr>
          <w:p>
            <w:pPr>
              <w:pStyle w:val="0"/>
            </w:pPr>
            <w:r>
              <w:rPr>
                <w:sz w:val="20"/>
              </w:rPr>
            </w:r>
          </w:p>
        </w:tc>
        <w:tc>
          <w:tcPr>
            <w:tcW w:w="1304" w:type="dxa"/>
          </w:tcPr>
          <w:p>
            <w:pPr>
              <w:pStyle w:val="0"/>
            </w:pPr>
            <w:r>
              <w:rPr>
                <w:sz w:val="20"/>
              </w:rPr>
            </w:r>
          </w:p>
        </w:tc>
        <w:tc>
          <w:tcPr>
            <w:tcW w:w="964" w:type="dxa"/>
          </w:tcPr>
          <w:p>
            <w:pPr>
              <w:pStyle w:val="0"/>
            </w:pPr>
            <w:r>
              <w:rPr>
                <w:sz w:val="20"/>
              </w:rPr>
            </w:r>
          </w:p>
        </w:tc>
        <w:tc>
          <w:tcPr>
            <w:tcW w:w="907" w:type="dxa"/>
          </w:tcPr>
          <w:p>
            <w:pPr>
              <w:pStyle w:val="0"/>
            </w:pPr>
            <w:r>
              <w:rPr>
                <w:sz w:val="20"/>
              </w:rPr>
            </w:r>
          </w:p>
        </w:tc>
        <w:tc>
          <w:tcPr>
            <w:tcW w:w="1077" w:type="dxa"/>
          </w:tcPr>
          <w:p>
            <w:pPr>
              <w:pStyle w:val="0"/>
            </w:pPr>
            <w:r>
              <w:rPr>
                <w:sz w:val="20"/>
              </w:rPr>
            </w:r>
          </w:p>
        </w:tc>
        <w:tc>
          <w:tcPr>
            <w:tcW w:w="1191" w:type="dxa"/>
          </w:tcPr>
          <w:p>
            <w:pPr>
              <w:pStyle w:val="0"/>
            </w:pPr>
            <w:r>
              <w:rPr>
                <w:sz w:val="20"/>
              </w:rPr>
            </w:r>
          </w:p>
        </w:tc>
        <w:tc>
          <w:tcPr>
            <w:tcW w:w="1304" w:type="dxa"/>
          </w:tcPr>
          <w:p>
            <w:pPr>
              <w:pStyle w:val="0"/>
            </w:pPr>
            <w:r>
              <w:rPr>
                <w:sz w:val="20"/>
              </w:rPr>
            </w:r>
          </w:p>
        </w:tc>
        <w:tc>
          <w:tcPr>
            <w:tcW w:w="907" w:type="dxa"/>
          </w:tcPr>
          <w:p>
            <w:pPr>
              <w:pStyle w:val="0"/>
            </w:pPr>
            <w:r>
              <w:rPr>
                <w:sz w:val="20"/>
              </w:rPr>
            </w:r>
          </w:p>
        </w:tc>
        <w:tc>
          <w:tcPr>
            <w:tcW w:w="907" w:type="dxa"/>
          </w:tcPr>
          <w:p>
            <w:pPr>
              <w:pStyle w:val="0"/>
            </w:pPr>
            <w:r>
              <w:rPr>
                <w:sz w:val="20"/>
              </w:rPr>
            </w:r>
          </w:p>
        </w:tc>
      </w:tr>
      <w:tr>
        <w:tc>
          <w:tcPr>
            <w:gridSpan w:val="3"/>
            <w:tcW w:w="3152" w:type="dxa"/>
          </w:tcPr>
          <w:p>
            <w:pPr>
              <w:pStyle w:val="0"/>
            </w:pPr>
            <w:r>
              <w:rPr>
                <w:sz w:val="20"/>
              </w:rPr>
              <w:t xml:space="preserve">Итого по МО2</w:t>
            </w:r>
          </w:p>
        </w:tc>
        <w:tc>
          <w:tcPr>
            <w:tcW w:w="907" w:type="dxa"/>
          </w:tcPr>
          <w:p>
            <w:pPr>
              <w:pStyle w:val="0"/>
            </w:pPr>
            <w:r>
              <w:rPr>
                <w:sz w:val="20"/>
              </w:rPr>
            </w:r>
          </w:p>
        </w:tc>
        <w:tc>
          <w:tcPr>
            <w:tcW w:w="964" w:type="dxa"/>
          </w:tcPr>
          <w:p>
            <w:pPr>
              <w:pStyle w:val="0"/>
            </w:pPr>
            <w:r>
              <w:rPr>
                <w:sz w:val="20"/>
              </w:rPr>
            </w:r>
          </w:p>
        </w:tc>
        <w:tc>
          <w:tcPr>
            <w:tcW w:w="1129" w:type="dxa"/>
          </w:tcPr>
          <w:p>
            <w:pPr>
              <w:pStyle w:val="0"/>
            </w:pPr>
            <w:r>
              <w:rPr>
                <w:sz w:val="20"/>
              </w:rPr>
            </w:r>
          </w:p>
        </w:tc>
        <w:tc>
          <w:tcPr>
            <w:tcW w:w="737" w:type="dxa"/>
          </w:tcPr>
          <w:p>
            <w:pPr>
              <w:pStyle w:val="0"/>
            </w:pPr>
            <w:r>
              <w:rPr>
                <w:sz w:val="20"/>
              </w:rPr>
            </w:r>
          </w:p>
        </w:tc>
        <w:tc>
          <w:tcPr>
            <w:tcW w:w="794" w:type="dxa"/>
          </w:tcPr>
          <w:p>
            <w:pPr>
              <w:pStyle w:val="0"/>
            </w:pPr>
            <w:r>
              <w:rPr>
                <w:sz w:val="20"/>
              </w:rPr>
            </w:r>
          </w:p>
        </w:tc>
        <w:tc>
          <w:tcPr>
            <w:tcW w:w="1077" w:type="dxa"/>
          </w:tcPr>
          <w:p>
            <w:pPr>
              <w:pStyle w:val="0"/>
            </w:pPr>
            <w:r>
              <w:rPr>
                <w:sz w:val="20"/>
              </w:rPr>
            </w:r>
          </w:p>
        </w:tc>
        <w:tc>
          <w:tcPr>
            <w:tcW w:w="994" w:type="dxa"/>
          </w:tcPr>
          <w:p>
            <w:pPr>
              <w:pStyle w:val="0"/>
            </w:pPr>
            <w:r>
              <w:rPr>
                <w:sz w:val="20"/>
              </w:rPr>
            </w:r>
          </w:p>
        </w:tc>
        <w:tc>
          <w:tcPr>
            <w:tcW w:w="1134" w:type="dxa"/>
          </w:tcPr>
          <w:p>
            <w:pPr>
              <w:pStyle w:val="0"/>
            </w:pPr>
            <w:r>
              <w:rPr>
                <w:sz w:val="20"/>
              </w:rPr>
            </w:r>
          </w:p>
        </w:tc>
        <w:tc>
          <w:tcPr>
            <w:tcW w:w="1304" w:type="dxa"/>
          </w:tcPr>
          <w:p>
            <w:pPr>
              <w:pStyle w:val="0"/>
            </w:pPr>
            <w:r>
              <w:rPr>
                <w:sz w:val="20"/>
              </w:rPr>
            </w:r>
          </w:p>
        </w:tc>
        <w:tc>
          <w:tcPr>
            <w:tcW w:w="694" w:type="dxa"/>
          </w:tcPr>
          <w:p>
            <w:pPr>
              <w:pStyle w:val="0"/>
            </w:pPr>
            <w:r>
              <w:rPr>
                <w:sz w:val="20"/>
              </w:rPr>
            </w:r>
          </w:p>
        </w:tc>
        <w:tc>
          <w:tcPr>
            <w:tcW w:w="1304" w:type="dxa"/>
          </w:tcPr>
          <w:p>
            <w:pPr>
              <w:pStyle w:val="0"/>
            </w:pPr>
            <w:r>
              <w:rPr>
                <w:sz w:val="20"/>
              </w:rPr>
            </w:r>
          </w:p>
        </w:tc>
        <w:tc>
          <w:tcPr>
            <w:tcW w:w="964" w:type="dxa"/>
          </w:tcPr>
          <w:p>
            <w:pPr>
              <w:pStyle w:val="0"/>
            </w:pPr>
            <w:r>
              <w:rPr>
                <w:sz w:val="20"/>
              </w:rPr>
            </w:r>
          </w:p>
        </w:tc>
        <w:tc>
          <w:tcPr>
            <w:tcW w:w="907" w:type="dxa"/>
          </w:tcPr>
          <w:p>
            <w:pPr>
              <w:pStyle w:val="0"/>
            </w:pPr>
            <w:r>
              <w:rPr>
                <w:sz w:val="20"/>
              </w:rPr>
            </w:r>
          </w:p>
        </w:tc>
        <w:tc>
          <w:tcPr>
            <w:tcW w:w="1077" w:type="dxa"/>
          </w:tcPr>
          <w:p>
            <w:pPr>
              <w:pStyle w:val="0"/>
            </w:pPr>
            <w:r>
              <w:rPr>
                <w:sz w:val="20"/>
              </w:rPr>
            </w:r>
          </w:p>
        </w:tc>
        <w:tc>
          <w:tcPr>
            <w:tcW w:w="1191" w:type="dxa"/>
          </w:tcPr>
          <w:p>
            <w:pPr>
              <w:pStyle w:val="0"/>
            </w:pPr>
            <w:r>
              <w:rPr>
                <w:sz w:val="20"/>
              </w:rPr>
            </w:r>
          </w:p>
        </w:tc>
        <w:tc>
          <w:tcPr>
            <w:tcW w:w="1304" w:type="dxa"/>
          </w:tcPr>
          <w:p>
            <w:pPr>
              <w:pStyle w:val="0"/>
            </w:pPr>
            <w:r>
              <w:rPr>
                <w:sz w:val="20"/>
              </w:rPr>
            </w:r>
          </w:p>
        </w:tc>
        <w:tc>
          <w:tcPr>
            <w:tcW w:w="907" w:type="dxa"/>
          </w:tcPr>
          <w:p>
            <w:pPr>
              <w:pStyle w:val="0"/>
            </w:pPr>
            <w:r>
              <w:rPr>
                <w:sz w:val="20"/>
              </w:rPr>
            </w:r>
          </w:p>
        </w:tc>
        <w:tc>
          <w:tcPr>
            <w:tcW w:w="907" w:type="dxa"/>
          </w:tcPr>
          <w:p>
            <w:pPr>
              <w:pStyle w:val="0"/>
            </w:pPr>
            <w:r>
              <w:rPr>
                <w:sz w:val="20"/>
              </w:rPr>
            </w:r>
          </w:p>
        </w:tc>
      </w:tr>
      <w:tr>
        <w:tc>
          <w:tcPr>
            <w:tcW w:w="514" w:type="dxa"/>
          </w:tcPr>
          <w:p>
            <w:pPr>
              <w:pStyle w:val="0"/>
              <w:jc w:val="center"/>
            </w:pPr>
            <w:r>
              <w:rPr>
                <w:sz w:val="20"/>
              </w:rPr>
              <w:t xml:space="preserve">n + 1</w:t>
            </w:r>
          </w:p>
        </w:tc>
        <w:tc>
          <w:tcPr>
            <w:tcW w:w="624" w:type="dxa"/>
          </w:tcPr>
          <w:p>
            <w:pPr>
              <w:pStyle w:val="0"/>
              <w:jc w:val="center"/>
            </w:pPr>
            <w:r>
              <w:rPr>
                <w:sz w:val="20"/>
              </w:rPr>
              <w:t xml:space="preserve">k</w:t>
            </w:r>
          </w:p>
        </w:tc>
        <w:tc>
          <w:tcPr>
            <w:tcW w:w="2014" w:type="dxa"/>
          </w:tcPr>
          <w:p>
            <w:pPr>
              <w:pStyle w:val="0"/>
            </w:pPr>
            <w:r>
              <w:rPr>
                <w:sz w:val="20"/>
              </w:rPr>
            </w:r>
          </w:p>
        </w:tc>
        <w:tc>
          <w:tcPr>
            <w:tcW w:w="907" w:type="dxa"/>
          </w:tcPr>
          <w:p>
            <w:pPr>
              <w:pStyle w:val="0"/>
            </w:pPr>
            <w:r>
              <w:rPr>
                <w:sz w:val="20"/>
              </w:rPr>
            </w:r>
          </w:p>
        </w:tc>
        <w:tc>
          <w:tcPr>
            <w:tcW w:w="964" w:type="dxa"/>
          </w:tcPr>
          <w:p>
            <w:pPr>
              <w:pStyle w:val="0"/>
            </w:pPr>
            <w:r>
              <w:rPr>
                <w:sz w:val="20"/>
              </w:rPr>
            </w:r>
          </w:p>
        </w:tc>
        <w:tc>
          <w:tcPr>
            <w:tcW w:w="1129" w:type="dxa"/>
          </w:tcPr>
          <w:p>
            <w:pPr>
              <w:pStyle w:val="0"/>
            </w:pPr>
            <w:r>
              <w:rPr>
                <w:sz w:val="20"/>
              </w:rPr>
            </w:r>
          </w:p>
        </w:tc>
        <w:tc>
          <w:tcPr>
            <w:tcW w:w="737" w:type="dxa"/>
          </w:tcPr>
          <w:p>
            <w:pPr>
              <w:pStyle w:val="0"/>
            </w:pPr>
            <w:r>
              <w:rPr>
                <w:sz w:val="20"/>
              </w:rPr>
            </w:r>
          </w:p>
        </w:tc>
        <w:tc>
          <w:tcPr>
            <w:tcW w:w="794" w:type="dxa"/>
          </w:tcPr>
          <w:p>
            <w:pPr>
              <w:pStyle w:val="0"/>
            </w:pPr>
            <w:r>
              <w:rPr>
                <w:sz w:val="20"/>
              </w:rPr>
            </w:r>
          </w:p>
        </w:tc>
        <w:tc>
          <w:tcPr>
            <w:tcW w:w="1077" w:type="dxa"/>
          </w:tcPr>
          <w:p>
            <w:pPr>
              <w:pStyle w:val="0"/>
            </w:pPr>
            <w:r>
              <w:rPr>
                <w:sz w:val="20"/>
              </w:rPr>
            </w:r>
          </w:p>
        </w:tc>
        <w:tc>
          <w:tcPr>
            <w:tcW w:w="994" w:type="dxa"/>
          </w:tcPr>
          <w:p>
            <w:pPr>
              <w:pStyle w:val="0"/>
            </w:pPr>
            <w:r>
              <w:rPr>
                <w:sz w:val="20"/>
              </w:rPr>
            </w:r>
          </w:p>
        </w:tc>
        <w:tc>
          <w:tcPr>
            <w:tcW w:w="1134" w:type="dxa"/>
          </w:tcPr>
          <w:p>
            <w:pPr>
              <w:pStyle w:val="0"/>
            </w:pPr>
            <w:r>
              <w:rPr>
                <w:sz w:val="20"/>
              </w:rPr>
            </w:r>
          </w:p>
        </w:tc>
        <w:tc>
          <w:tcPr>
            <w:tcW w:w="1304" w:type="dxa"/>
          </w:tcPr>
          <w:p>
            <w:pPr>
              <w:pStyle w:val="0"/>
            </w:pPr>
            <w:r>
              <w:rPr>
                <w:sz w:val="20"/>
              </w:rPr>
            </w:r>
          </w:p>
        </w:tc>
        <w:tc>
          <w:tcPr>
            <w:tcW w:w="694" w:type="dxa"/>
          </w:tcPr>
          <w:p>
            <w:pPr>
              <w:pStyle w:val="0"/>
            </w:pPr>
            <w:r>
              <w:rPr>
                <w:sz w:val="20"/>
              </w:rPr>
            </w:r>
          </w:p>
        </w:tc>
        <w:tc>
          <w:tcPr>
            <w:tcW w:w="1304" w:type="dxa"/>
          </w:tcPr>
          <w:p>
            <w:pPr>
              <w:pStyle w:val="0"/>
            </w:pPr>
            <w:r>
              <w:rPr>
                <w:sz w:val="20"/>
              </w:rPr>
            </w:r>
          </w:p>
        </w:tc>
        <w:tc>
          <w:tcPr>
            <w:tcW w:w="964" w:type="dxa"/>
          </w:tcPr>
          <w:p>
            <w:pPr>
              <w:pStyle w:val="0"/>
            </w:pPr>
            <w:r>
              <w:rPr>
                <w:sz w:val="20"/>
              </w:rPr>
            </w:r>
          </w:p>
        </w:tc>
        <w:tc>
          <w:tcPr>
            <w:tcW w:w="907" w:type="dxa"/>
          </w:tcPr>
          <w:p>
            <w:pPr>
              <w:pStyle w:val="0"/>
            </w:pPr>
            <w:r>
              <w:rPr>
                <w:sz w:val="20"/>
              </w:rPr>
            </w:r>
          </w:p>
        </w:tc>
        <w:tc>
          <w:tcPr>
            <w:tcW w:w="1077" w:type="dxa"/>
          </w:tcPr>
          <w:p>
            <w:pPr>
              <w:pStyle w:val="0"/>
            </w:pPr>
            <w:r>
              <w:rPr>
                <w:sz w:val="20"/>
              </w:rPr>
            </w:r>
          </w:p>
        </w:tc>
        <w:tc>
          <w:tcPr>
            <w:tcW w:w="1191" w:type="dxa"/>
          </w:tcPr>
          <w:p>
            <w:pPr>
              <w:pStyle w:val="0"/>
            </w:pPr>
            <w:r>
              <w:rPr>
                <w:sz w:val="20"/>
              </w:rPr>
            </w:r>
          </w:p>
        </w:tc>
        <w:tc>
          <w:tcPr>
            <w:tcW w:w="1304" w:type="dxa"/>
          </w:tcPr>
          <w:p>
            <w:pPr>
              <w:pStyle w:val="0"/>
            </w:pPr>
            <w:r>
              <w:rPr>
                <w:sz w:val="20"/>
              </w:rPr>
            </w:r>
          </w:p>
        </w:tc>
        <w:tc>
          <w:tcPr>
            <w:tcW w:w="907" w:type="dxa"/>
          </w:tcPr>
          <w:p>
            <w:pPr>
              <w:pStyle w:val="0"/>
            </w:pPr>
            <w:r>
              <w:rPr>
                <w:sz w:val="20"/>
              </w:rPr>
            </w:r>
          </w:p>
        </w:tc>
        <w:tc>
          <w:tcPr>
            <w:tcW w:w="907" w:type="dxa"/>
          </w:tcPr>
          <w:p>
            <w:pPr>
              <w:pStyle w:val="0"/>
            </w:pPr>
            <w:r>
              <w:rPr>
                <w:sz w:val="20"/>
              </w:rPr>
            </w:r>
          </w:p>
        </w:tc>
      </w:tr>
      <w:tr>
        <w:tc>
          <w:tcPr>
            <w:tcW w:w="514" w:type="dxa"/>
          </w:tcPr>
          <w:p>
            <w:pPr>
              <w:pStyle w:val="0"/>
              <w:jc w:val="center"/>
            </w:pPr>
            <w:r>
              <w:rPr>
                <w:sz w:val="20"/>
              </w:rPr>
              <w:t xml:space="preserve">...</w:t>
            </w:r>
          </w:p>
        </w:tc>
        <w:tc>
          <w:tcPr>
            <w:tcW w:w="624" w:type="dxa"/>
          </w:tcPr>
          <w:p>
            <w:pPr>
              <w:pStyle w:val="0"/>
              <w:jc w:val="center"/>
            </w:pPr>
            <w:r>
              <w:rPr>
                <w:sz w:val="20"/>
              </w:rPr>
              <w:t xml:space="preserve">...</w:t>
            </w:r>
          </w:p>
        </w:tc>
        <w:tc>
          <w:tcPr>
            <w:tcW w:w="2014" w:type="dxa"/>
          </w:tcPr>
          <w:p>
            <w:pPr>
              <w:pStyle w:val="0"/>
            </w:pPr>
            <w:r>
              <w:rPr>
                <w:sz w:val="20"/>
              </w:rPr>
            </w:r>
          </w:p>
        </w:tc>
        <w:tc>
          <w:tcPr>
            <w:tcW w:w="907" w:type="dxa"/>
          </w:tcPr>
          <w:p>
            <w:pPr>
              <w:pStyle w:val="0"/>
            </w:pPr>
            <w:r>
              <w:rPr>
                <w:sz w:val="20"/>
              </w:rPr>
            </w:r>
          </w:p>
        </w:tc>
        <w:tc>
          <w:tcPr>
            <w:tcW w:w="964" w:type="dxa"/>
          </w:tcPr>
          <w:p>
            <w:pPr>
              <w:pStyle w:val="0"/>
            </w:pPr>
            <w:r>
              <w:rPr>
                <w:sz w:val="20"/>
              </w:rPr>
            </w:r>
          </w:p>
        </w:tc>
        <w:tc>
          <w:tcPr>
            <w:tcW w:w="1129" w:type="dxa"/>
          </w:tcPr>
          <w:p>
            <w:pPr>
              <w:pStyle w:val="0"/>
            </w:pPr>
            <w:r>
              <w:rPr>
                <w:sz w:val="20"/>
              </w:rPr>
            </w:r>
          </w:p>
        </w:tc>
        <w:tc>
          <w:tcPr>
            <w:tcW w:w="737" w:type="dxa"/>
          </w:tcPr>
          <w:p>
            <w:pPr>
              <w:pStyle w:val="0"/>
            </w:pPr>
            <w:r>
              <w:rPr>
                <w:sz w:val="20"/>
              </w:rPr>
            </w:r>
          </w:p>
        </w:tc>
        <w:tc>
          <w:tcPr>
            <w:tcW w:w="794" w:type="dxa"/>
          </w:tcPr>
          <w:p>
            <w:pPr>
              <w:pStyle w:val="0"/>
            </w:pPr>
            <w:r>
              <w:rPr>
                <w:sz w:val="20"/>
              </w:rPr>
            </w:r>
          </w:p>
        </w:tc>
        <w:tc>
          <w:tcPr>
            <w:tcW w:w="1077" w:type="dxa"/>
          </w:tcPr>
          <w:p>
            <w:pPr>
              <w:pStyle w:val="0"/>
            </w:pPr>
            <w:r>
              <w:rPr>
                <w:sz w:val="20"/>
              </w:rPr>
            </w:r>
          </w:p>
        </w:tc>
        <w:tc>
          <w:tcPr>
            <w:tcW w:w="994" w:type="dxa"/>
          </w:tcPr>
          <w:p>
            <w:pPr>
              <w:pStyle w:val="0"/>
            </w:pPr>
            <w:r>
              <w:rPr>
                <w:sz w:val="20"/>
              </w:rPr>
            </w:r>
          </w:p>
        </w:tc>
        <w:tc>
          <w:tcPr>
            <w:tcW w:w="1134" w:type="dxa"/>
          </w:tcPr>
          <w:p>
            <w:pPr>
              <w:pStyle w:val="0"/>
            </w:pPr>
            <w:r>
              <w:rPr>
                <w:sz w:val="20"/>
              </w:rPr>
            </w:r>
          </w:p>
        </w:tc>
        <w:tc>
          <w:tcPr>
            <w:tcW w:w="1304" w:type="dxa"/>
          </w:tcPr>
          <w:p>
            <w:pPr>
              <w:pStyle w:val="0"/>
            </w:pPr>
            <w:r>
              <w:rPr>
                <w:sz w:val="20"/>
              </w:rPr>
            </w:r>
          </w:p>
        </w:tc>
        <w:tc>
          <w:tcPr>
            <w:tcW w:w="694" w:type="dxa"/>
          </w:tcPr>
          <w:p>
            <w:pPr>
              <w:pStyle w:val="0"/>
            </w:pPr>
            <w:r>
              <w:rPr>
                <w:sz w:val="20"/>
              </w:rPr>
            </w:r>
          </w:p>
        </w:tc>
        <w:tc>
          <w:tcPr>
            <w:tcW w:w="1304" w:type="dxa"/>
          </w:tcPr>
          <w:p>
            <w:pPr>
              <w:pStyle w:val="0"/>
            </w:pPr>
            <w:r>
              <w:rPr>
                <w:sz w:val="20"/>
              </w:rPr>
            </w:r>
          </w:p>
        </w:tc>
        <w:tc>
          <w:tcPr>
            <w:tcW w:w="964" w:type="dxa"/>
          </w:tcPr>
          <w:p>
            <w:pPr>
              <w:pStyle w:val="0"/>
            </w:pPr>
            <w:r>
              <w:rPr>
                <w:sz w:val="20"/>
              </w:rPr>
            </w:r>
          </w:p>
        </w:tc>
        <w:tc>
          <w:tcPr>
            <w:tcW w:w="907" w:type="dxa"/>
          </w:tcPr>
          <w:p>
            <w:pPr>
              <w:pStyle w:val="0"/>
            </w:pPr>
            <w:r>
              <w:rPr>
                <w:sz w:val="20"/>
              </w:rPr>
            </w:r>
          </w:p>
        </w:tc>
        <w:tc>
          <w:tcPr>
            <w:tcW w:w="1077" w:type="dxa"/>
          </w:tcPr>
          <w:p>
            <w:pPr>
              <w:pStyle w:val="0"/>
            </w:pPr>
            <w:r>
              <w:rPr>
                <w:sz w:val="20"/>
              </w:rPr>
            </w:r>
          </w:p>
        </w:tc>
        <w:tc>
          <w:tcPr>
            <w:tcW w:w="1191" w:type="dxa"/>
          </w:tcPr>
          <w:p>
            <w:pPr>
              <w:pStyle w:val="0"/>
            </w:pPr>
            <w:r>
              <w:rPr>
                <w:sz w:val="20"/>
              </w:rPr>
            </w:r>
          </w:p>
        </w:tc>
        <w:tc>
          <w:tcPr>
            <w:tcW w:w="1304" w:type="dxa"/>
          </w:tcPr>
          <w:p>
            <w:pPr>
              <w:pStyle w:val="0"/>
            </w:pPr>
            <w:r>
              <w:rPr>
                <w:sz w:val="20"/>
              </w:rPr>
            </w:r>
          </w:p>
        </w:tc>
        <w:tc>
          <w:tcPr>
            <w:tcW w:w="907" w:type="dxa"/>
          </w:tcPr>
          <w:p>
            <w:pPr>
              <w:pStyle w:val="0"/>
            </w:pPr>
            <w:r>
              <w:rPr>
                <w:sz w:val="20"/>
              </w:rPr>
            </w:r>
          </w:p>
        </w:tc>
        <w:tc>
          <w:tcPr>
            <w:tcW w:w="907" w:type="dxa"/>
          </w:tcPr>
          <w:p>
            <w:pPr>
              <w:pStyle w:val="0"/>
            </w:pPr>
            <w:r>
              <w:rPr>
                <w:sz w:val="20"/>
              </w:rPr>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2</w:t>
      </w:r>
    </w:p>
    <w:p>
      <w:pPr>
        <w:pStyle w:val="0"/>
        <w:jc w:val="right"/>
      </w:pPr>
      <w:r>
        <w:rPr>
          <w:sz w:val="20"/>
        </w:rPr>
        <w:t xml:space="preserve">к Порядку разработки краткосрочных планов</w:t>
      </w:r>
    </w:p>
    <w:p>
      <w:pPr>
        <w:pStyle w:val="0"/>
        <w:jc w:val="right"/>
      </w:pPr>
      <w:r>
        <w:rPr>
          <w:sz w:val="20"/>
        </w:rPr>
        <w:t xml:space="preserve">реализации адресной программы проведения</w:t>
      </w:r>
    </w:p>
    <w:p>
      <w:pPr>
        <w:pStyle w:val="0"/>
        <w:jc w:val="right"/>
      </w:pPr>
      <w:r>
        <w:rPr>
          <w:sz w:val="20"/>
        </w:rPr>
        <w:t xml:space="preserve">капитального ремонта общего имущества в</w:t>
      </w:r>
    </w:p>
    <w:p>
      <w:pPr>
        <w:pStyle w:val="0"/>
        <w:jc w:val="right"/>
      </w:pPr>
      <w:r>
        <w:rPr>
          <w:sz w:val="20"/>
        </w:rPr>
        <w:t xml:space="preserve">многоквартирных домах в Белгородской</w:t>
      </w:r>
    </w:p>
    <w:p>
      <w:pPr>
        <w:pStyle w:val="0"/>
        <w:jc w:val="right"/>
      </w:pPr>
      <w:r>
        <w:rPr>
          <w:sz w:val="20"/>
        </w:rPr>
        <w:t xml:space="preserve">области на 2019 - 2048 годы</w:t>
      </w:r>
    </w:p>
    <w:p>
      <w:pPr>
        <w:pStyle w:val="0"/>
        <w:jc w:val="both"/>
      </w:pPr>
      <w:r>
        <w:rPr>
          <w:sz w:val="20"/>
        </w:rPr>
      </w:r>
    </w:p>
    <w:bookmarkStart w:id="392" w:name="P392"/>
    <w:bookmarkEnd w:id="392"/>
    <w:p>
      <w:pPr>
        <w:pStyle w:val="0"/>
        <w:jc w:val="center"/>
      </w:pPr>
      <w:r>
        <w:rPr>
          <w:sz w:val="20"/>
        </w:rPr>
        <w:t xml:space="preserve">II. Реестр многоквартирных домов по видам работ (услуг)</w:t>
      </w:r>
    </w:p>
    <w:p>
      <w:pPr>
        <w:pStyle w:val="0"/>
        <w:jc w:val="center"/>
      </w:pPr>
      <w:r>
        <w:rPr>
          <w:sz w:val="20"/>
        </w:rPr>
        <w:t xml:space="preserve">по капитальному ремонту, включенных в соответствии</w:t>
      </w:r>
    </w:p>
    <w:p>
      <w:pPr>
        <w:pStyle w:val="0"/>
        <w:jc w:val="center"/>
      </w:pPr>
      <w:r>
        <w:rPr>
          <w:sz w:val="20"/>
        </w:rPr>
        <w:t xml:space="preserve">с жилищным законодательством в краткосрочный план реализации</w:t>
      </w:r>
    </w:p>
    <w:p>
      <w:pPr>
        <w:pStyle w:val="0"/>
        <w:jc w:val="center"/>
      </w:pPr>
      <w:r>
        <w:rPr>
          <w:sz w:val="20"/>
        </w:rPr>
        <w:t xml:space="preserve">адресной программы капитального ремонта общего имущества</w:t>
      </w:r>
    </w:p>
    <w:p>
      <w:pPr>
        <w:pStyle w:val="0"/>
        <w:jc w:val="center"/>
      </w:pPr>
      <w:r>
        <w:rPr>
          <w:sz w:val="20"/>
        </w:rPr>
        <w:t xml:space="preserve">многоквартирных домов в Белгородской области</w:t>
      </w:r>
    </w:p>
    <w:p>
      <w:pPr>
        <w:pStyle w:val="0"/>
        <w:jc w:val="center"/>
      </w:pPr>
      <w:r>
        <w:rPr>
          <w:sz w:val="20"/>
        </w:rPr>
        <w:t xml:space="preserve">на 2019 - 2048 годы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4"/>
        <w:gridCol w:w="844"/>
        <w:gridCol w:w="2014"/>
        <w:gridCol w:w="1191"/>
        <w:gridCol w:w="694"/>
        <w:gridCol w:w="1134"/>
        <w:gridCol w:w="1134"/>
        <w:gridCol w:w="910"/>
        <w:gridCol w:w="835"/>
        <w:gridCol w:w="907"/>
        <w:gridCol w:w="567"/>
        <w:gridCol w:w="624"/>
        <w:gridCol w:w="454"/>
        <w:gridCol w:w="529"/>
        <w:gridCol w:w="695"/>
        <w:gridCol w:w="659"/>
        <w:gridCol w:w="510"/>
        <w:gridCol w:w="529"/>
        <w:gridCol w:w="510"/>
        <w:gridCol w:w="565"/>
        <w:gridCol w:w="737"/>
        <w:gridCol w:w="1531"/>
        <w:gridCol w:w="1191"/>
        <w:gridCol w:w="964"/>
        <w:gridCol w:w="1020"/>
        <w:gridCol w:w="907"/>
        <w:gridCol w:w="1191"/>
      </w:tblGrid>
      <w:tr>
        <w:tc>
          <w:tcPr>
            <w:tcW w:w="514" w:type="dxa"/>
            <w:vAlign w:val="center"/>
            <w:vMerge w:val="restart"/>
          </w:tcPr>
          <w:p>
            <w:pPr>
              <w:pStyle w:val="0"/>
              <w:jc w:val="center"/>
            </w:pPr>
            <w:r>
              <w:rPr>
                <w:sz w:val="20"/>
              </w:rPr>
              <w:t xml:space="preserve">N п/п</w:t>
            </w:r>
          </w:p>
        </w:tc>
        <w:tc>
          <w:tcPr>
            <w:tcW w:w="844" w:type="dxa"/>
            <w:vAlign w:val="center"/>
            <w:vMerge w:val="restart"/>
          </w:tcPr>
          <w:p>
            <w:pPr>
              <w:pStyle w:val="0"/>
              <w:jc w:val="center"/>
            </w:pPr>
            <w:r>
              <w:rPr>
                <w:sz w:val="20"/>
              </w:rPr>
              <w:t xml:space="preserve">N по району</w:t>
            </w:r>
          </w:p>
        </w:tc>
        <w:tc>
          <w:tcPr>
            <w:tcW w:w="2014" w:type="dxa"/>
            <w:vAlign w:val="center"/>
            <w:vMerge w:val="restart"/>
          </w:tcPr>
          <w:p>
            <w:pPr>
              <w:pStyle w:val="0"/>
              <w:jc w:val="center"/>
            </w:pPr>
            <w:r>
              <w:rPr>
                <w:sz w:val="20"/>
              </w:rPr>
              <w:t xml:space="preserve">Адрес многоквартирного дома</w:t>
            </w:r>
          </w:p>
        </w:tc>
        <w:tc>
          <w:tcPr>
            <w:tcW w:w="1191" w:type="dxa"/>
            <w:vAlign w:val="center"/>
            <w:vMerge w:val="restart"/>
          </w:tcPr>
          <w:p>
            <w:pPr>
              <w:pStyle w:val="0"/>
              <w:jc w:val="center"/>
            </w:pPr>
            <w:r>
              <w:rPr>
                <w:sz w:val="20"/>
              </w:rPr>
              <w:t xml:space="preserve">Стоимость капитального, ремонта, ВСЕГО</w:t>
            </w:r>
          </w:p>
        </w:tc>
        <w:tc>
          <w:tcPr>
            <w:gridSpan w:val="16"/>
            <w:tcW w:w="11256" w:type="dxa"/>
            <w:vAlign w:val="center"/>
          </w:tcPr>
          <w:p>
            <w:pPr>
              <w:pStyle w:val="0"/>
              <w:jc w:val="center"/>
            </w:pPr>
            <w:r>
              <w:rPr>
                <w:sz w:val="20"/>
              </w:rPr>
              <w:t xml:space="preserve">Виды, установленные </w:t>
            </w:r>
            <w:hyperlink w:history="0" r:id="rId45" w:tooltip="&quot;Жилищный кодекс Российской Федерации&quot; от 29.12.2004 N 188-ФЗ (ред. от 28.04.2023) {КонсультантПлюс}">
              <w:r>
                <w:rPr>
                  <w:sz w:val="20"/>
                  <w:color w:val="0000ff"/>
                </w:rPr>
                <w:t xml:space="preserve">пунктом 1 статьи 166</w:t>
              </w:r>
            </w:hyperlink>
            <w:r>
              <w:rPr>
                <w:sz w:val="20"/>
              </w:rPr>
              <w:t xml:space="preserve"> Жилищного кодекса Российской Федерации</w:t>
            </w:r>
          </w:p>
        </w:tc>
        <w:tc>
          <w:tcPr>
            <w:gridSpan w:val="4"/>
            <w:tcW w:w="4423" w:type="dxa"/>
            <w:vAlign w:val="center"/>
          </w:tcPr>
          <w:p>
            <w:pPr>
              <w:pStyle w:val="0"/>
              <w:jc w:val="center"/>
            </w:pPr>
            <w:r>
              <w:rPr>
                <w:sz w:val="20"/>
              </w:rPr>
              <w:t xml:space="preserve">Виды, установленные нормативным правовым актом субъекта Российской Федерации</w:t>
            </w:r>
          </w:p>
        </w:tc>
        <w:tc>
          <w:tcPr>
            <w:gridSpan w:val="2"/>
            <w:tcW w:w="1927" w:type="dxa"/>
            <w:vAlign w:val="center"/>
          </w:tcPr>
          <w:p>
            <w:pPr>
              <w:pStyle w:val="0"/>
              <w:jc w:val="center"/>
            </w:pPr>
            <w:r>
              <w:rPr>
                <w:sz w:val="20"/>
              </w:rPr>
              <w:t xml:space="preserve">Другие виды</w:t>
            </w:r>
          </w:p>
        </w:tc>
        <w:tc>
          <w:tcPr>
            <w:tcW w:w="1191" w:type="dxa"/>
            <w:vAlign w:val="center"/>
            <w:vMerge w:val="restart"/>
          </w:tcPr>
          <w:p>
            <w:pPr>
              <w:pStyle w:val="0"/>
              <w:jc w:val="center"/>
            </w:pPr>
            <w:r>
              <w:rPr>
                <w:sz w:val="20"/>
              </w:rPr>
              <w:t xml:space="preserve">Иные виды работ по решению общего собрания собственников помещения</w:t>
            </w:r>
          </w:p>
        </w:tc>
      </w:tr>
      <w:tr>
        <w:tc>
          <w:tcPr>
            <w:vMerge w:val="continue"/>
          </w:tcPr>
          <w:p/>
        </w:tc>
        <w:tc>
          <w:tcPr>
            <w:vMerge w:val="continue"/>
          </w:tcPr>
          <w:p/>
        </w:tc>
        <w:tc>
          <w:tcPr>
            <w:vMerge w:val="continue"/>
          </w:tcPr>
          <w:p/>
        </w:tc>
        <w:tc>
          <w:tcPr>
            <w:vMerge w:val="continue"/>
          </w:tcPr>
          <w:p/>
        </w:tc>
        <w:tc>
          <w:tcPr>
            <w:gridSpan w:val="6"/>
            <w:tcW w:w="5614" w:type="dxa"/>
            <w:vAlign w:val="center"/>
          </w:tcPr>
          <w:p>
            <w:pPr>
              <w:pStyle w:val="0"/>
              <w:jc w:val="center"/>
            </w:pPr>
            <w:r>
              <w:rPr>
                <w:sz w:val="20"/>
              </w:rPr>
              <w:t xml:space="preserve">Ремонт внутридомовых инженерных систем</w:t>
            </w:r>
          </w:p>
        </w:tc>
        <w:tc>
          <w:tcPr>
            <w:gridSpan w:val="2"/>
            <w:tcW w:w="1191" w:type="dxa"/>
            <w:vAlign w:val="center"/>
            <w:vMerge w:val="restart"/>
          </w:tcPr>
          <w:p>
            <w:pPr>
              <w:pStyle w:val="0"/>
              <w:jc w:val="center"/>
            </w:pPr>
            <w:r>
              <w:rPr>
                <w:sz w:val="20"/>
              </w:rPr>
              <w:t xml:space="preserve">Ремонт или замена лифтового оборудования</w:t>
            </w:r>
          </w:p>
        </w:tc>
        <w:tc>
          <w:tcPr>
            <w:gridSpan w:val="2"/>
            <w:tcW w:w="983" w:type="dxa"/>
            <w:vAlign w:val="center"/>
            <w:vMerge w:val="restart"/>
          </w:tcPr>
          <w:p>
            <w:pPr>
              <w:pStyle w:val="0"/>
              <w:jc w:val="center"/>
            </w:pPr>
            <w:r>
              <w:rPr>
                <w:sz w:val="20"/>
              </w:rPr>
              <w:t xml:space="preserve">Ремонт крыши</w:t>
            </w:r>
          </w:p>
        </w:tc>
        <w:tc>
          <w:tcPr>
            <w:gridSpan w:val="2"/>
            <w:tcW w:w="1354" w:type="dxa"/>
            <w:vAlign w:val="center"/>
            <w:vMerge w:val="restart"/>
          </w:tcPr>
          <w:p>
            <w:pPr>
              <w:pStyle w:val="0"/>
              <w:jc w:val="center"/>
            </w:pPr>
            <w:r>
              <w:rPr>
                <w:sz w:val="20"/>
              </w:rPr>
              <w:t xml:space="preserve">Ремонт подвальных помещений</w:t>
            </w:r>
          </w:p>
        </w:tc>
        <w:tc>
          <w:tcPr>
            <w:gridSpan w:val="2"/>
            <w:tcW w:w="1039" w:type="dxa"/>
            <w:vAlign w:val="center"/>
            <w:vMerge w:val="restart"/>
          </w:tcPr>
          <w:p>
            <w:pPr>
              <w:pStyle w:val="0"/>
              <w:jc w:val="center"/>
            </w:pPr>
            <w:r>
              <w:rPr>
                <w:sz w:val="20"/>
              </w:rPr>
              <w:t xml:space="preserve">Ремонт фасада</w:t>
            </w:r>
          </w:p>
        </w:tc>
        <w:tc>
          <w:tcPr>
            <w:gridSpan w:val="2"/>
            <w:tcW w:w="1075" w:type="dxa"/>
            <w:vAlign w:val="center"/>
            <w:vMerge w:val="restart"/>
          </w:tcPr>
          <w:p>
            <w:pPr>
              <w:pStyle w:val="0"/>
              <w:jc w:val="center"/>
            </w:pPr>
            <w:r>
              <w:rPr>
                <w:sz w:val="20"/>
              </w:rPr>
              <w:t xml:space="preserve">Ремонт фундамента</w:t>
            </w:r>
          </w:p>
        </w:tc>
        <w:tc>
          <w:tcPr>
            <w:tcW w:w="737" w:type="dxa"/>
            <w:vAlign w:val="center"/>
            <w:vMerge w:val="restart"/>
          </w:tcPr>
          <w:p>
            <w:pPr>
              <w:pStyle w:val="0"/>
              <w:jc w:val="center"/>
            </w:pPr>
            <w:r>
              <w:rPr>
                <w:sz w:val="20"/>
              </w:rPr>
              <w:t xml:space="preserve">Утепление фасадов</w:t>
            </w:r>
          </w:p>
        </w:tc>
        <w:tc>
          <w:tcPr>
            <w:tcW w:w="1531" w:type="dxa"/>
            <w:vAlign w:val="center"/>
            <w:vMerge w:val="restart"/>
          </w:tcPr>
          <w:p>
            <w:pPr>
              <w:pStyle w:val="0"/>
              <w:jc w:val="center"/>
            </w:pPr>
            <w:r>
              <w:rPr>
                <w:sz w:val="20"/>
              </w:rPr>
              <w:t xml:space="preserve">Переустройство невентилируемой крыши на вентилируемую крышу, устройство выходов на кровлю</w:t>
            </w:r>
          </w:p>
        </w:tc>
        <w:tc>
          <w:tcPr>
            <w:tcW w:w="1191" w:type="dxa"/>
            <w:vAlign w:val="center"/>
            <w:vMerge w:val="restart"/>
          </w:tcPr>
          <w:p>
            <w:pPr>
              <w:pStyle w:val="0"/>
              <w:jc w:val="center"/>
            </w:pPr>
            <w:r>
              <w:rPr>
                <w:sz w:val="20"/>
              </w:rPr>
              <w:t xml:space="preserve">Установка коллективных (общедомовых) ПУ и УУ</w:t>
            </w:r>
          </w:p>
        </w:tc>
        <w:tc>
          <w:tcPr>
            <w:tcW w:w="964" w:type="dxa"/>
            <w:vAlign w:val="center"/>
            <w:vMerge w:val="restart"/>
          </w:tcPr>
          <w:p>
            <w:pPr>
              <w:pStyle w:val="0"/>
              <w:jc w:val="center"/>
            </w:pPr>
            <w:r>
              <w:rPr>
                <w:sz w:val="20"/>
              </w:rPr>
              <w:t xml:space="preserve">Устройство пандусов</w:t>
            </w:r>
          </w:p>
        </w:tc>
        <w:tc>
          <w:tcPr>
            <w:tcW w:w="1020" w:type="dxa"/>
            <w:vAlign w:val="center"/>
            <w:vMerge w:val="restart"/>
          </w:tcPr>
          <w:p>
            <w:pPr>
              <w:pStyle w:val="0"/>
              <w:jc w:val="center"/>
            </w:pPr>
            <w:r>
              <w:rPr>
                <w:sz w:val="20"/>
              </w:rPr>
              <w:t xml:space="preserve">Строительный контроль</w:t>
            </w:r>
          </w:p>
        </w:tc>
        <w:tc>
          <w:tcPr>
            <w:tcW w:w="907" w:type="dxa"/>
            <w:vAlign w:val="center"/>
            <w:vMerge w:val="restart"/>
          </w:tcPr>
          <w:p>
            <w:pPr>
              <w:pStyle w:val="0"/>
              <w:jc w:val="center"/>
            </w:pPr>
            <w:r>
              <w:rPr>
                <w:sz w:val="20"/>
              </w:rPr>
              <w:t xml:space="preserve">Проектные работы</w:t>
            </w:r>
          </w:p>
        </w:tc>
        <w:tc>
          <w:tcPr>
            <w:vMerge w:val="continue"/>
          </w:tcPr>
          <w:p/>
        </w:tc>
      </w:tr>
      <w:tr>
        <w:tc>
          <w:tcPr>
            <w:vMerge w:val="continue"/>
          </w:tcPr>
          <w:p/>
        </w:tc>
        <w:tc>
          <w:tcPr>
            <w:vMerge w:val="continue"/>
          </w:tcPr>
          <w:p/>
        </w:tc>
        <w:tc>
          <w:tcPr>
            <w:vMerge w:val="continue"/>
          </w:tcPr>
          <w:p/>
        </w:tc>
        <w:tc>
          <w:tcPr>
            <w:vMerge w:val="continue"/>
          </w:tcPr>
          <w:p/>
        </w:tc>
        <w:tc>
          <w:tcPr>
            <w:tcW w:w="694" w:type="dxa"/>
            <w:vAlign w:val="center"/>
            <w:vMerge w:val="restart"/>
          </w:tcPr>
          <w:p>
            <w:pPr>
              <w:pStyle w:val="0"/>
              <w:jc w:val="center"/>
            </w:pPr>
            <w:r>
              <w:rPr>
                <w:sz w:val="20"/>
              </w:rPr>
              <w:t xml:space="preserve">Всего</w:t>
            </w:r>
          </w:p>
        </w:tc>
        <w:tc>
          <w:tcPr>
            <w:tcW w:w="1134" w:type="dxa"/>
            <w:vAlign w:val="center"/>
            <w:vMerge w:val="restart"/>
          </w:tcPr>
          <w:p>
            <w:pPr>
              <w:pStyle w:val="0"/>
              <w:jc w:val="center"/>
            </w:pPr>
            <w:r>
              <w:rPr>
                <w:sz w:val="20"/>
              </w:rPr>
              <w:t xml:space="preserve">Электроснабжение</w:t>
            </w:r>
          </w:p>
        </w:tc>
        <w:tc>
          <w:tcPr>
            <w:tcW w:w="1134" w:type="dxa"/>
            <w:vAlign w:val="center"/>
            <w:vMerge w:val="restart"/>
          </w:tcPr>
          <w:p>
            <w:pPr>
              <w:pStyle w:val="0"/>
              <w:jc w:val="center"/>
            </w:pPr>
            <w:r>
              <w:rPr>
                <w:sz w:val="20"/>
              </w:rPr>
              <w:t xml:space="preserve">Теплоснабжение</w:t>
            </w:r>
          </w:p>
        </w:tc>
        <w:tc>
          <w:tcPr>
            <w:gridSpan w:val="2"/>
            <w:tcW w:w="1745" w:type="dxa"/>
            <w:vAlign w:val="center"/>
          </w:tcPr>
          <w:p>
            <w:pPr>
              <w:pStyle w:val="0"/>
              <w:jc w:val="center"/>
            </w:pPr>
            <w:r>
              <w:rPr>
                <w:sz w:val="20"/>
              </w:rPr>
              <w:t xml:space="preserve">Водоснабжение</w:t>
            </w:r>
          </w:p>
        </w:tc>
        <w:tc>
          <w:tcPr>
            <w:tcW w:w="907" w:type="dxa"/>
            <w:vAlign w:val="center"/>
            <w:vMerge w:val="restart"/>
          </w:tcPr>
          <w:p>
            <w:pPr>
              <w:pStyle w:val="0"/>
              <w:jc w:val="center"/>
            </w:pPr>
            <w:r>
              <w:rPr>
                <w:sz w:val="20"/>
              </w:rPr>
              <w:t xml:space="preserve">Водоотведение</w:t>
            </w:r>
          </w:p>
        </w:tc>
        <w:tc>
          <w:tcPr>
            <w:gridSpan w:val="2"/>
            <w:vMerge w:val="continue"/>
          </w:tcPr>
          <w:p/>
        </w:tc>
        <w:tc>
          <w:tcPr>
            <w:gridSpan w:val="2"/>
            <w:vMerge w:val="continue"/>
          </w:tcPr>
          <w:p/>
        </w:tc>
        <w:tc>
          <w:tcPr>
            <w:gridSpan w:val="2"/>
            <w:vMerge w:val="continue"/>
          </w:tcPr>
          <w:p/>
        </w:tc>
        <w:tc>
          <w:tcPr>
            <w:gridSpan w:val="2"/>
            <w:vMerge w:val="continue"/>
          </w:tcPr>
          <w:p/>
        </w:tc>
        <w:tc>
          <w:tcPr>
            <w:gridSpan w:val="2"/>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910" w:type="dxa"/>
            <w:vAlign w:val="center"/>
          </w:tcPr>
          <w:p>
            <w:pPr>
              <w:pStyle w:val="0"/>
              <w:jc w:val="center"/>
            </w:pPr>
            <w:r>
              <w:rPr>
                <w:sz w:val="20"/>
              </w:rPr>
              <w:t xml:space="preserve">ХВС</w:t>
            </w:r>
          </w:p>
        </w:tc>
        <w:tc>
          <w:tcPr>
            <w:tcW w:w="835" w:type="dxa"/>
            <w:vAlign w:val="center"/>
          </w:tcPr>
          <w:p>
            <w:pPr>
              <w:pStyle w:val="0"/>
              <w:jc w:val="center"/>
            </w:pPr>
            <w:r>
              <w:rPr>
                <w:sz w:val="20"/>
              </w:rPr>
              <w:t xml:space="preserve">ГВС</w:t>
            </w:r>
          </w:p>
        </w:tc>
        <w:tc>
          <w:tcPr>
            <w:vMerge w:val="continue"/>
          </w:tcPr>
          <w:p/>
        </w:tc>
        <w:tc>
          <w:tcPr>
            <w:gridSpan w:val="2"/>
            <w:vMerge w:val="continue"/>
          </w:tcPr>
          <w:p/>
        </w:tc>
        <w:tc>
          <w:tcPr>
            <w:gridSpan w:val="2"/>
            <w:vMerge w:val="continue"/>
          </w:tcPr>
          <w:p/>
        </w:tc>
        <w:tc>
          <w:tcPr>
            <w:gridSpan w:val="2"/>
            <w:vMerge w:val="continue"/>
          </w:tcPr>
          <w:p/>
        </w:tc>
        <w:tc>
          <w:tcPr>
            <w:gridSpan w:val="2"/>
            <w:vMerge w:val="continue"/>
          </w:tcPr>
          <w:p/>
        </w:tc>
        <w:tc>
          <w:tcPr>
            <w:gridSpan w:val="2"/>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vMerge w:val="continue"/>
          </w:tcPr>
          <w:p/>
        </w:tc>
        <w:tc>
          <w:tcPr>
            <w:vMerge w:val="continue"/>
          </w:tcPr>
          <w:p/>
        </w:tc>
        <w:tc>
          <w:tcPr>
            <w:vMerge w:val="continue"/>
          </w:tcPr>
          <w:p/>
        </w:tc>
        <w:tc>
          <w:tcPr>
            <w:tcW w:w="1191" w:type="dxa"/>
            <w:vAlign w:val="center"/>
          </w:tcPr>
          <w:p>
            <w:pPr>
              <w:pStyle w:val="0"/>
              <w:jc w:val="center"/>
            </w:pPr>
            <w:r>
              <w:rPr>
                <w:sz w:val="20"/>
              </w:rPr>
              <w:t xml:space="preserve">руб.</w:t>
            </w:r>
          </w:p>
        </w:tc>
        <w:tc>
          <w:tcPr>
            <w:tcW w:w="694" w:type="dxa"/>
            <w:vAlign w:val="center"/>
          </w:tcPr>
          <w:p>
            <w:pPr>
              <w:pStyle w:val="0"/>
              <w:jc w:val="center"/>
            </w:pPr>
            <w:r>
              <w:rPr>
                <w:sz w:val="20"/>
              </w:rPr>
              <w:t xml:space="preserve">руб.</w:t>
            </w:r>
          </w:p>
        </w:tc>
        <w:tc>
          <w:tcPr>
            <w:tcW w:w="1134" w:type="dxa"/>
            <w:vAlign w:val="center"/>
          </w:tcPr>
          <w:p>
            <w:pPr>
              <w:pStyle w:val="0"/>
              <w:jc w:val="center"/>
            </w:pPr>
            <w:r>
              <w:rPr>
                <w:sz w:val="20"/>
              </w:rPr>
              <w:t xml:space="preserve">руб.</w:t>
            </w:r>
          </w:p>
        </w:tc>
        <w:tc>
          <w:tcPr>
            <w:tcW w:w="1134" w:type="dxa"/>
            <w:vAlign w:val="center"/>
          </w:tcPr>
          <w:p>
            <w:pPr>
              <w:pStyle w:val="0"/>
              <w:jc w:val="center"/>
            </w:pPr>
            <w:r>
              <w:rPr>
                <w:sz w:val="20"/>
              </w:rPr>
              <w:t xml:space="preserve">руб.</w:t>
            </w:r>
          </w:p>
        </w:tc>
        <w:tc>
          <w:tcPr>
            <w:tcW w:w="910" w:type="dxa"/>
            <w:vAlign w:val="center"/>
          </w:tcPr>
          <w:p>
            <w:pPr>
              <w:pStyle w:val="0"/>
              <w:jc w:val="center"/>
            </w:pPr>
            <w:r>
              <w:rPr>
                <w:sz w:val="20"/>
              </w:rPr>
              <w:t xml:space="preserve">руб.</w:t>
            </w:r>
          </w:p>
        </w:tc>
        <w:tc>
          <w:tcPr>
            <w:tcW w:w="835" w:type="dxa"/>
            <w:vAlign w:val="center"/>
          </w:tcPr>
          <w:p>
            <w:pPr>
              <w:pStyle w:val="0"/>
              <w:jc w:val="center"/>
            </w:pPr>
            <w:r>
              <w:rPr>
                <w:sz w:val="20"/>
              </w:rPr>
              <w:t xml:space="preserve">руб.</w:t>
            </w:r>
          </w:p>
        </w:tc>
        <w:tc>
          <w:tcPr>
            <w:tcW w:w="907" w:type="dxa"/>
            <w:vAlign w:val="center"/>
          </w:tcPr>
          <w:p>
            <w:pPr>
              <w:pStyle w:val="0"/>
              <w:jc w:val="center"/>
            </w:pPr>
            <w:r>
              <w:rPr>
                <w:sz w:val="20"/>
              </w:rPr>
              <w:t xml:space="preserve">руб.</w:t>
            </w:r>
          </w:p>
        </w:tc>
        <w:tc>
          <w:tcPr>
            <w:tcW w:w="567" w:type="dxa"/>
            <w:vAlign w:val="center"/>
          </w:tcPr>
          <w:p>
            <w:pPr>
              <w:pStyle w:val="0"/>
              <w:jc w:val="center"/>
            </w:pPr>
            <w:r>
              <w:rPr>
                <w:sz w:val="20"/>
              </w:rPr>
              <w:t xml:space="preserve">ед.</w:t>
            </w:r>
          </w:p>
        </w:tc>
        <w:tc>
          <w:tcPr>
            <w:tcW w:w="624" w:type="dxa"/>
            <w:vAlign w:val="center"/>
          </w:tcPr>
          <w:p>
            <w:pPr>
              <w:pStyle w:val="0"/>
              <w:jc w:val="center"/>
            </w:pPr>
            <w:r>
              <w:rPr>
                <w:sz w:val="20"/>
              </w:rPr>
              <w:t xml:space="preserve">руб.</w:t>
            </w:r>
          </w:p>
        </w:tc>
        <w:tc>
          <w:tcPr>
            <w:tcW w:w="454" w:type="dxa"/>
            <w:vAlign w:val="center"/>
          </w:tcPr>
          <w:p>
            <w:pPr>
              <w:pStyle w:val="0"/>
              <w:jc w:val="center"/>
            </w:pPr>
            <w:r>
              <w:rPr>
                <w:sz w:val="20"/>
              </w:rPr>
              <w:t xml:space="preserve">кв. м</w:t>
            </w:r>
          </w:p>
        </w:tc>
        <w:tc>
          <w:tcPr>
            <w:tcW w:w="529" w:type="dxa"/>
            <w:vAlign w:val="center"/>
          </w:tcPr>
          <w:p>
            <w:pPr>
              <w:pStyle w:val="0"/>
              <w:jc w:val="center"/>
            </w:pPr>
            <w:r>
              <w:rPr>
                <w:sz w:val="20"/>
              </w:rPr>
              <w:t xml:space="preserve">руб.</w:t>
            </w:r>
          </w:p>
        </w:tc>
        <w:tc>
          <w:tcPr>
            <w:tcW w:w="695" w:type="dxa"/>
            <w:vAlign w:val="center"/>
          </w:tcPr>
          <w:p>
            <w:pPr>
              <w:pStyle w:val="0"/>
              <w:jc w:val="center"/>
            </w:pPr>
            <w:r>
              <w:rPr>
                <w:sz w:val="20"/>
              </w:rPr>
              <w:t xml:space="preserve">кв. м</w:t>
            </w:r>
          </w:p>
        </w:tc>
        <w:tc>
          <w:tcPr>
            <w:tcW w:w="659" w:type="dxa"/>
            <w:vAlign w:val="center"/>
          </w:tcPr>
          <w:p>
            <w:pPr>
              <w:pStyle w:val="0"/>
              <w:jc w:val="center"/>
            </w:pPr>
            <w:r>
              <w:rPr>
                <w:sz w:val="20"/>
              </w:rPr>
              <w:t xml:space="preserve">руб.</w:t>
            </w:r>
          </w:p>
        </w:tc>
        <w:tc>
          <w:tcPr>
            <w:tcW w:w="510" w:type="dxa"/>
            <w:vAlign w:val="center"/>
          </w:tcPr>
          <w:p>
            <w:pPr>
              <w:pStyle w:val="0"/>
              <w:jc w:val="center"/>
            </w:pPr>
            <w:r>
              <w:rPr>
                <w:sz w:val="20"/>
              </w:rPr>
              <w:t xml:space="preserve">кв. м</w:t>
            </w:r>
          </w:p>
        </w:tc>
        <w:tc>
          <w:tcPr>
            <w:tcW w:w="529" w:type="dxa"/>
            <w:vAlign w:val="center"/>
          </w:tcPr>
          <w:p>
            <w:pPr>
              <w:pStyle w:val="0"/>
              <w:jc w:val="center"/>
            </w:pPr>
            <w:r>
              <w:rPr>
                <w:sz w:val="20"/>
              </w:rPr>
              <w:t xml:space="preserve">руб.</w:t>
            </w:r>
          </w:p>
        </w:tc>
        <w:tc>
          <w:tcPr>
            <w:tcW w:w="510" w:type="dxa"/>
            <w:vAlign w:val="center"/>
          </w:tcPr>
          <w:p>
            <w:pPr>
              <w:pStyle w:val="0"/>
              <w:jc w:val="center"/>
            </w:pPr>
            <w:r>
              <w:rPr>
                <w:sz w:val="20"/>
              </w:rPr>
              <w:t xml:space="preserve">кв. м</w:t>
            </w:r>
          </w:p>
        </w:tc>
        <w:tc>
          <w:tcPr>
            <w:tcW w:w="565" w:type="dxa"/>
            <w:vAlign w:val="center"/>
          </w:tcPr>
          <w:p>
            <w:pPr>
              <w:pStyle w:val="0"/>
              <w:jc w:val="center"/>
            </w:pPr>
            <w:r>
              <w:rPr>
                <w:sz w:val="20"/>
              </w:rPr>
              <w:t xml:space="preserve">руб.</w:t>
            </w:r>
          </w:p>
        </w:tc>
        <w:tc>
          <w:tcPr>
            <w:tcW w:w="737" w:type="dxa"/>
            <w:vAlign w:val="center"/>
          </w:tcPr>
          <w:p>
            <w:pPr>
              <w:pStyle w:val="0"/>
              <w:jc w:val="center"/>
            </w:pPr>
            <w:r>
              <w:rPr>
                <w:sz w:val="20"/>
              </w:rPr>
              <w:t xml:space="preserve">руб.</w:t>
            </w:r>
          </w:p>
        </w:tc>
        <w:tc>
          <w:tcPr>
            <w:tcW w:w="1531" w:type="dxa"/>
            <w:vAlign w:val="center"/>
          </w:tcPr>
          <w:p>
            <w:pPr>
              <w:pStyle w:val="0"/>
              <w:jc w:val="center"/>
            </w:pPr>
            <w:r>
              <w:rPr>
                <w:sz w:val="20"/>
              </w:rPr>
              <w:t xml:space="preserve">руб.</w:t>
            </w:r>
          </w:p>
        </w:tc>
        <w:tc>
          <w:tcPr>
            <w:tcW w:w="1191" w:type="dxa"/>
            <w:vAlign w:val="center"/>
          </w:tcPr>
          <w:p>
            <w:pPr>
              <w:pStyle w:val="0"/>
              <w:jc w:val="center"/>
            </w:pPr>
            <w:r>
              <w:rPr>
                <w:sz w:val="20"/>
              </w:rPr>
              <w:t xml:space="preserve">руб.</w:t>
            </w:r>
          </w:p>
        </w:tc>
        <w:tc>
          <w:tcPr>
            <w:tcW w:w="964" w:type="dxa"/>
            <w:vAlign w:val="center"/>
          </w:tcPr>
          <w:p>
            <w:pPr>
              <w:pStyle w:val="0"/>
              <w:jc w:val="center"/>
            </w:pPr>
            <w:r>
              <w:rPr>
                <w:sz w:val="20"/>
              </w:rPr>
              <w:t xml:space="preserve">руб.</w:t>
            </w:r>
          </w:p>
        </w:tc>
        <w:tc>
          <w:tcPr>
            <w:tcW w:w="1020" w:type="dxa"/>
            <w:vAlign w:val="center"/>
          </w:tcPr>
          <w:p>
            <w:pPr>
              <w:pStyle w:val="0"/>
              <w:jc w:val="center"/>
            </w:pPr>
            <w:r>
              <w:rPr>
                <w:sz w:val="20"/>
              </w:rPr>
              <w:t xml:space="preserve">руб.</w:t>
            </w:r>
          </w:p>
        </w:tc>
        <w:tc>
          <w:tcPr>
            <w:tcW w:w="907" w:type="dxa"/>
            <w:vAlign w:val="center"/>
          </w:tcPr>
          <w:p>
            <w:pPr>
              <w:pStyle w:val="0"/>
              <w:jc w:val="center"/>
            </w:pPr>
            <w:r>
              <w:rPr>
                <w:sz w:val="20"/>
              </w:rPr>
              <w:t xml:space="preserve">руб.</w:t>
            </w:r>
          </w:p>
        </w:tc>
        <w:tc>
          <w:tcPr>
            <w:tcW w:w="1191" w:type="dxa"/>
            <w:vAlign w:val="center"/>
          </w:tcPr>
          <w:p>
            <w:pPr>
              <w:pStyle w:val="0"/>
              <w:jc w:val="center"/>
            </w:pPr>
            <w:r>
              <w:rPr>
                <w:sz w:val="20"/>
              </w:rPr>
              <w:t xml:space="preserve">руб.</w:t>
            </w:r>
          </w:p>
        </w:tc>
      </w:tr>
      <w:tr>
        <w:tc>
          <w:tcPr>
            <w:tcW w:w="514" w:type="dxa"/>
            <w:vAlign w:val="center"/>
          </w:tcPr>
          <w:p>
            <w:pPr>
              <w:pStyle w:val="0"/>
              <w:jc w:val="center"/>
            </w:pPr>
            <w:r>
              <w:rPr>
                <w:sz w:val="20"/>
              </w:rPr>
              <w:t xml:space="preserve">1</w:t>
            </w:r>
          </w:p>
        </w:tc>
        <w:tc>
          <w:tcPr>
            <w:tcW w:w="844" w:type="dxa"/>
            <w:vAlign w:val="center"/>
          </w:tcPr>
          <w:p>
            <w:pPr>
              <w:pStyle w:val="0"/>
              <w:jc w:val="center"/>
            </w:pPr>
            <w:r>
              <w:rPr>
                <w:sz w:val="20"/>
              </w:rPr>
              <w:t xml:space="preserve">2</w:t>
            </w:r>
          </w:p>
        </w:tc>
        <w:tc>
          <w:tcPr>
            <w:tcW w:w="2014" w:type="dxa"/>
            <w:vAlign w:val="center"/>
          </w:tcPr>
          <w:p>
            <w:pPr>
              <w:pStyle w:val="0"/>
              <w:jc w:val="center"/>
            </w:pPr>
            <w:r>
              <w:rPr>
                <w:sz w:val="20"/>
              </w:rPr>
              <w:t xml:space="preserve">3</w:t>
            </w:r>
          </w:p>
        </w:tc>
        <w:tc>
          <w:tcPr>
            <w:tcW w:w="1191" w:type="dxa"/>
            <w:vAlign w:val="center"/>
          </w:tcPr>
          <w:p>
            <w:pPr>
              <w:pStyle w:val="0"/>
              <w:jc w:val="center"/>
            </w:pPr>
            <w:r>
              <w:rPr>
                <w:sz w:val="20"/>
              </w:rPr>
              <w:t xml:space="preserve">4</w:t>
            </w:r>
          </w:p>
        </w:tc>
        <w:tc>
          <w:tcPr>
            <w:tcW w:w="694" w:type="dxa"/>
            <w:vAlign w:val="center"/>
          </w:tcPr>
          <w:p>
            <w:pPr>
              <w:pStyle w:val="0"/>
              <w:jc w:val="center"/>
            </w:pPr>
            <w:r>
              <w:rPr>
                <w:sz w:val="20"/>
              </w:rPr>
              <w:t xml:space="preserve">5</w:t>
            </w:r>
          </w:p>
        </w:tc>
        <w:tc>
          <w:tcPr>
            <w:tcW w:w="1134" w:type="dxa"/>
            <w:vAlign w:val="center"/>
          </w:tcPr>
          <w:p>
            <w:pPr>
              <w:pStyle w:val="0"/>
              <w:jc w:val="center"/>
            </w:pPr>
            <w:r>
              <w:rPr>
                <w:sz w:val="20"/>
              </w:rPr>
              <w:t xml:space="preserve">6</w:t>
            </w:r>
          </w:p>
        </w:tc>
        <w:tc>
          <w:tcPr>
            <w:tcW w:w="1134" w:type="dxa"/>
            <w:vAlign w:val="center"/>
          </w:tcPr>
          <w:p>
            <w:pPr>
              <w:pStyle w:val="0"/>
              <w:jc w:val="center"/>
            </w:pPr>
            <w:r>
              <w:rPr>
                <w:sz w:val="20"/>
              </w:rPr>
              <w:t xml:space="preserve">7</w:t>
            </w:r>
          </w:p>
        </w:tc>
        <w:tc>
          <w:tcPr>
            <w:tcW w:w="910" w:type="dxa"/>
            <w:vAlign w:val="center"/>
          </w:tcPr>
          <w:p>
            <w:pPr>
              <w:pStyle w:val="0"/>
              <w:jc w:val="center"/>
            </w:pPr>
            <w:r>
              <w:rPr>
                <w:sz w:val="20"/>
              </w:rPr>
              <w:t xml:space="preserve">8</w:t>
            </w:r>
          </w:p>
        </w:tc>
        <w:tc>
          <w:tcPr>
            <w:tcW w:w="835" w:type="dxa"/>
            <w:vAlign w:val="center"/>
          </w:tcPr>
          <w:p>
            <w:pPr>
              <w:pStyle w:val="0"/>
              <w:jc w:val="center"/>
            </w:pPr>
            <w:r>
              <w:rPr>
                <w:sz w:val="20"/>
              </w:rPr>
              <w:t xml:space="preserve">9</w:t>
            </w:r>
          </w:p>
        </w:tc>
        <w:tc>
          <w:tcPr>
            <w:tcW w:w="907" w:type="dxa"/>
            <w:vAlign w:val="center"/>
          </w:tcPr>
          <w:p>
            <w:pPr>
              <w:pStyle w:val="0"/>
              <w:jc w:val="center"/>
            </w:pPr>
            <w:r>
              <w:rPr>
                <w:sz w:val="20"/>
              </w:rPr>
              <w:t xml:space="preserve">10</w:t>
            </w:r>
          </w:p>
        </w:tc>
        <w:tc>
          <w:tcPr>
            <w:tcW w:w="567" w:type="dxa"/>
            <w:vAlign w:val="center"/>
          </w:tcPr>
          <w:p>
            <w:pPr>
              <w:pStyle w:val="0"/>
              <w:jc w:val="center"/>
            </w:pPr>
            <w:r>
              <w:rPr>
                <w:sz w:val="20"/>
              </w:rPr>
              <w:t xml:space="preserve">11</w:t>
            </w:r>
          </w:p>
        </w:tc>
        <w:tc>
          <w:tcPr>
            <w:tcW w:w="624" w:type="dxa"/>
            <w:vAlign w:val="center"/>
          </w:tcPr>
          <w:p>
            <w:pPr>
              <w:pStyle w:val="0"/>
              <w:jc w:val="center"/>
            </w:pPr>
            <w:r>
              <w:rPr>
                <w:sz w:val="20"/>
              </w:rPr>
              <w:t xml:space="preserve">12</w:t>
            </w:r>
          </w:p>
        </w:tc>
        <w:tc>
          <w:tcPr>
            <w:tcW w:w="454" w:type="dxa"/>
            <w:vAlign w:val="center"/>
          </w:tcPr>
          <w:p>
            <w:pPr>
              <w:pStyle w:val="0"/>
              <w:jc w:val="center"/>
            </w:pPr>
            <w:r>
              <w:rPr>
                <w:sz w:val="20"/>
              </w:rPr>
              <w:t xml:space="preserve">13</w:t>
            </w:r>
          </w:p>
        </w:tc>
        <w:tc>
          <w:tcPr>
            <w:tcW w:w="529" w:type="dxa"/>
            <w:vAlign w:val="center"/>
          </w:tcPr>
          <w:p>
            <w:pPr>
              <w:pStyle w:val="0"/>
              <w:jc w:val="center"/>
            </w:pPr>
            <w:r>
              <w:rPr>
                <w:sz w:val="20"/>
              </w:rPr>
              <w:t xml:space="preserve">14</w:t>
            </w:r>
          </w:p>
        </w:tc>
        <w:tc>
          <w:tcPr>
            <w:tcW w:w="695" w:type="dxa"/>
            <w:vAlign w:val="center"/>
          </w:tcPr>
          <w:p>
            <w:pPr>
              <w:pStyle w:val="0"/>
              <w:jc w:val="center"/>
            </w:pPr>
            <w:r>
              <w:rPr>
                <w:sz w:val="20"/>
              </w:rPr>
              <w:t xml:space="preserve">15</w:t>
            </w:r>
          </w:p>
        </w:tc>
        <w:tc>
          <w:tcPr>
            <w:tcW w:w="659" w:type="dxa"/>
            <w:vAlign w:val="center"/>
          </w:tcPr>
          <w:p>
            <w:pPr>
              <w:pStyle w:val="0"/>
              <w:jc w:val="center"/>
            </w:pPr>
            <w:r>
              <w:rPr>
                <w:sz w:val="20"/>
              </w:rPr>
              <w:t xml:space="preserve">16</w:t>
            </w:r>
          </w:p>
        </w:tc>
        <w:tc>
          <w:tcPr>
            <w:tcW w:w="510" w:type="dxa"/>
            <w:vAlign w:val="center"/>
          </w:tcPr>
          <w:p>
            <w:pPr>
              <w:pStyle w:val="0"/>
              <w:jc w:val="center"/>
            </w:pPr>
            <w:r>
              <w:rPr>
                <w:sz w:val="20"/>
              </w:rPr>
              <w:t xml:space="preserve">17</w:t>
            </w:r>
          </w:p>
        </w:tc>
        <w:tc>
          <w:tcPr>
            <w:tcW w:w="529" w:type="dxa"/>
            <w:vAlign w:val="center"/>
          </w:tcPr>
          <w:p>
            <w:pPr>
              <w:pStyle w:val="0"/>
              <w:jc w:val="center"/>
            </w:pPr>
            <w:r>
              <w:rPr>
                <w:sz w:val="20"/>
              </w:rPr>
              <w:t xml:space="preserve">18</w:t>
            </w:r>
          </w:p>
        </w:tc>
        <w:tc>
          <w:tcPr>
            <w:tcW w:w="510" w:type="dxa"/>
            <w:vAlign w:val="center"/>
          </w:tcPr>
          <w:p>
            <w:pPr>
              <w:pStyle w:val="0"/>
              <w:jc w:val="center"/>
            </w:pPr>
            <w:r>
              <w:rPr>
                <w:sz w:val="20"/>
              </w:rPr>
              <w:t xml:space="preserve">19</w:t>
            </w:r>
          </w:p>
        </w:tc>
        <w:tc>
          <w:tcPr>
            <w:tcW w:w="565" w:type="dxa"/>
            <w:vAlign w:val="center"/>
          </w:tcPr>
          <w:p>
            <w:pPr>
              <w:pStyle w:val="0"/>
              <w:jc w:val="center"/>
            </w:pPr>
            <w:r>
              <w:rPr>
                <w:sz w:val="20"/>
              </w:rPr>
              <w:t xml:space="preserve">20</w:t>
            </w:r>
          </w:p>
        </w:tc>
        <w:tc>
          <w:tcPr>
            <w:tcW w:w="737" w:type="dxa"/>
            <w:vAlign w:val="center"/>
          </w:tcPr>
          <w:p>
            <w:pPr>
              <w:pStyle w:val="0"/>
              <w:jc w:val="center"/>
            </w:pPr>
            <w:r>
              <w:rPr>
                <w:sz w:val="20"/>
              </w:rPr>
              <w:t xml:space="preserve">21</w:t>
            </w:r>
          </w:p>
        </w:tc>
        <w:tc>
          <w:tcPr>
            <w:tcW w:w="1531" w:type="dxa"/>
            <w:vAlign w:val="center"/>
          </w:tcPr>
          <w:p>
            <w:pPr>
              <w:pStyle w:val="0"/>
              <w:jc w:val="center"/>
            </w:pPr>
            <w:r>
              <w:rPr>
                <w:sz w:val="20"/>
              </w:rPr>
              <w:t xml:space="preserve">22</w:t>
            </w:r>
          </w:p>
        </w:tc>
        <w:tc>
          <w:tcPr>
            <w:tcW w:w="1191" w:type="dxa"/>
            <w:vAlign w:val="center"/>
          </w:tcPr>
          <w:p>
            <w:pPr>
              <w:pStyle w:val="0"/>
              <w:jc w:val="center"/>
            </w:pPr>
            <w:r>
              <w:rPr>
                <w:sz w:val="20"/>
              </w:rPr>
              <w:t xml:space="preserve">23</w:t>
            </w:r>
          </w:p>
        </w:tc>
        <w:tc>
          <w:tcPr>
            <w:tcW w:w="964" w:type="dxa"/>
            <w:vAlign w:val="center"/>
          </w:tcPr>
          <w:p>
            <w:pPr>
              <w:pStyle w:val="0"/>
              <w:jc w:val="center"/>
            </w:pPr>
            <w:r>
              <w:rPr>
                <w:sz w:val="20"/>
              </w:rPr>
              <w:t xml:space="preserve">24</w:t>
            </w:r>
          </w:p>
        </w:tc>
        <w:tc>
          <w:tcPr>
            <w:tcW w:w="1020" w:type="dxa"/>
            <w:vAlign w:val="center"/>
          </w:tcPr>
          <w:p>
            <w:pPr>
              <w:pStyle w:val="0"/>
              <w:jc w:val="center"/>
            </w:pPr>
            <w:r>
              <w:rPr>
                <w:sz w:val="20"/>
              </w:rPr>
              <w:t xml:space="preserve">25</w:t>
            </w:r>
          </w:p>
        </w:tc>
        <w:tc>
          <w:tcPr>
            <w:tcW w:w="907" w:type="dxa"/>
            <w:vAlign w:val="center"/>
          </w:tcPr>
          <w:p>
            <w:pPr>
              <w:pStyle w:val="0"/>
              <w:jc w:val="center"/>
            </w:pPr>
            <w:r>
              <w:rPr>
                <w:sz w:val="20"/>
              </w:rPr>
              <w:t xml:space="preserve">26</w:t>
            </w:r>
          </w:p>
        </w:tc>
        <w:tc>
          <w:tcPr>
            <w:tcW w:w="1191" w:type="dxa"/>
            <w:vAlign w:val="center"/>
          </w:tcPr>
          <w:p>
            <w:pPr>
              <w:pStyle w:val="0"/>
              <w:jc w:val="center"/>
            </w:pPr>
            <w:r>
              <w:rPr>
                <w:sz w:val="20"/>
              </w:rPr>
              <w:t xml:space="preserve">27</w:t>
            </w:r>
          </w:p>
        </w:tc>
      </w:tr>
      <w:tr>
        <w:tc>
          <w:tcPr>
            <w:gridSpan w:val="3"/>
            <w:tcW w:w="3372" w:type="dxa"/>
          </w:tcPr>
          <w:p>
            <w:pPr>
              <w:pStyle w:val="0"/>
            </w:pPr>
            <w:r>
              <w:rPr>
                <w:sz w:val="20"/>
              </w:rPr>
              <w:t xml:space="preserve">Итого по Белгородской области на _____________ годы:</w:t>
            </w:r>
          </w:p>
        </w:tc>
        <w:tc>
          <w:tcPr>
            <w:tcW w:w="1191" w:type="dxa"/>
          </w:tcPr>
          <w:p>
            <w:pPr>
              <w:pStyle w:val="0"/>
            </w:pPr>
            <w:r>
              <w:rPr>
                <w:sz w:val="20"/>
              </w:rPr>
            </w:r>
          </w:p>
        </w:tc>
        <w:tc>
          <w:tcPr>
            <w:tcW w:w="694" w:type="dxa"/>
          </w:tcPr>
          <w:p>
            <w:pPr>
              <w:pStyle w:val="0"/>
            </w:pPr>
            <w:r>
              <w:rPr>
                <w:sz w:val="20"/>
              </w:rPr>
            </w:r>
          </w:p>
        </w:tc>
        <w:tc>
          <w:tcPr>
            <w:tcW w:w="1134" w:type="dxa"/>
          </w:tcPr>
          <w:p>
            <w:pPr>
              <w:pStyle w:val="0"/>
            </w:pPr>
            <w:r>
              <w:rPr>
                <w:sz w:val="20"/>
              </w:rPr>
            </w:r>
          </w:p>
        </w:tc>
        <w:tc>
          <w:tcPr>
            <w:tcW w:w="1134" w:type="dxa"/>
          </w:tcPr>
          <w:p>
            <w:pPr>
              <w:pStyle w:val="0"/>
            </w:pPr>
            <w:r>
              <w:rPr>
                <w:sz w:val="20"/>
              </w:rPr>
            </w:r>
          </w:p>
        </w:tc>
        <w:tc>
          <w:tcPr>
            <w:tcW w:w="910" w:type="dxa"/>
          </w:tcPr>
          <w:p>
            <w:pPr>
              <w:pStyle w:val="0"/>
            </w:pPr>
            <w:r>
              <w:rPr>
                <w:sz w:val="20"/>
              </w:rPr>
            </w:r>
          </w:p>
        </w:tc>
        <w:tc>
          <w:tcPr>
            <w:tcW w:w="835" w:type="dxa"/>
          </w:tcPr>
          <w:p>
            <w:pPr>
              <w:pStyle w:val="0"/>
            </w:pPr>
            <w:r>
              <w:rPr>
                <w:sz w:val="20"/>
              </w:rPr>
            </w:r>
          </w:p>
        </w:tc>
        <w:tc>
          <w:tcPr>
            <w:tcW w:w="907" w:type="dxa"/>
          </w:tcPr>
          <w:p>
            <w:pPr>
              <w:pStyle w:val="0"/>
            </w:pPr>
            <w:r>
              <w:rPr>
                <w:sz w:val="20"/>
              </w:rPr>
            </w:r>
          </w:p>
        </w:tc>
        <w:tc>
          <w:tcPr>
            <w:tcW w:w="567" w:type="dxa"/>
          </w:tcPr>
          <w:p>
            <w:pPr>
              <w:pStyle w:val="0"/>
            </w:pPr>
            <w:r>
              <w:rPr>
                <w:sz w:val="20"/>
              </w:rPr>
            </w:r>
          </w:p>
        </w:tc>
        <w:tc>
          <w:tcPr>
            <w:tcW w:w="624" w:type="dxa"/>
          </w:tcPr>
          <w:p>
            <w:pPr>
              <w:pStyle w:val="0"/>
            </w:pPr>
            <w:r>
              <w:rPr>
                <w:sz w:val="20"/>
              </w:rPr>
            </w:r>
          </w:p>
        </w:tc>
        <w:tc>
          <w:tcPr>
            <w:tcW w:w="454" w:type="dxa"/>
          </w:tcPr>
          <w:p>
            <w:pPr>
              <w:pStyle w:val="0"/>
            </w:pPr>
            <w:r>
              <w:rPr>
                <w:sz w:val="20"/>
              </w:rPr>
            </w:r>
          </w:p>
        </w:tc>
        <w:tc>
          <w:tcPr>
            <w:tcW w:w="529" w:type="dxa"/>
          </w:tcPr>
          <w:p>
            <w:pPr>
              <w:pStyle w:val="0"/>
            </w:pPr>
            <w:r>
              <w:rPr>
                <w:sz w:val="20"/>
              </w:rPr>
            </w:r>
          </w:p>
        </w:tc>
        <w:tc>
          <w:tcPr>
            <w:tcW w:w="695" w:type="dxa"/>
          </w:tcPr>
          <w:p>
            <w:pPr>
              <w:pStyle w:val="0"/>
            </w:pPr>
            <w:r>
              <w:rPr>
                <w:sz w:val="20"/>
              </w:rPr>
            </w:r>
          </w:p>
        </w:tc>
        <w:tc>
          <w:tcPr>
            <w:tcW w:w="659" w:type="dxa"/>
          </w:tcPr>
          <w:p>
            <w:pPr>
              <w:pStyle w:val="0"/>
            </w:pPr>
            <w:r>
              <w:rPr>
                <w:sz w:val="20"/>
              </w:rPr>
            </w:r>
          </w:p>
        </w:tc>
        <w:tc>
          <w:tcPr>
            <w:tcW w:w="510" w:type="dxa"/>
          </w:tcPr>
          <w:p>
            <w:pPr>
              <w:pStyle w:val="0"/>
            </w:pPr>
            <w:r>
              <w:rPr>
                <w:sz w:val="20"/>
              </w:rPr>
            </w:r>
          </w:p>
        </w:tc>
        <w:tc>
          <w:tcPr>
            <w:tcW w:w="529" w:type="dxa"/>
          </w:tcPr>
          <w:p>
            <w:pPr>
              <w:pStyle w:val="0"/>
            </w:pPr>
            <w:r>
              <w:rPr>
                <w:sz w:val="20"/>
              </w:rPr>
            </w:r>
          </w:p>
        </w:tc>
        <w:tc>
          <w:tcPr>
            <w:tcW w:w="510" w:type="dxa"/>
          </w:tcPr>
          <w:p>
            <w:pPr>
              <w:pStyle w:val="0"/>
            </w:pPr>
            <w:r>
              <w:rPr>
                <w:sz w:val="20"/>
              </w:rPr>
            </w:r>
          </w:p>
        </w:tc>
        <w:tc>
          <w:tcPr>
            <w:tcW w:w="565" w:type="dxa"/>
          </w:tcPr>
          <w:p>
            <w:pPr>
              <w:pStyle w:val="0"/>
            </w:pPr>
            <w:r>
              <w:rPr>
                <w:sz w:val="20"/>
              </w:rPr>
            </w:r>
          </w:p>
        </w:tc>
        <w:tc>
          <w:tcPr>
            <w:tcW w:w="737" w:type="dxa"/>
          </w:tcPr>
          <w:p>
            <w:pPr>
              <w:pStyle w:val="0"/>
            </w:pPr>
            <w:r>
              <w:rPr>
                <w:sz w:val="20"/>
              </w:rPr>
            </w:r>
          </w:p>
        </w:tc>
        <w:tc>
          <w:tcPr>
            <w:tcW w:w="1531" w:type="dxa"/>
          </w:tcPr>
          <w:p>
            <w:pPr>
              <w:pStyle w:val="0"/>
            </w:pPr>
            <w:r>
              <w:rPr>
                <w:sz w:val="20"/>
              </w:rPr>
            </w:r>
          </w:p>
        </w:tc>
        <w:tc>
          <w:tcPr>
            <w:tcW w:w="1191" w:type="dxa"/>
          </w:tcPr>
          <w:p>
            <w:pPr>
              <w:pStyle w:val="0"/>
            </w:pPr>
            <w:r>
              <w:rPr>
                <w:sz w:val="20"/>
              </w:rPr>
            </w:r>
          </w:p>
        </w:tc>
        <w:tc>
          <w:tcPr>
            <w:tcW w:w="964" w:type="dxa"/>
          </w:tcPr>
          <w:p>
            <w:pPr>
              <w:pStyle w:val="0"/>
            </w:pPr>
            <w:r>
              <w:rPr>
                <w:sz w:val="20"/>
              </w:rPr>
            </w:r>
          </w:p>
        </w:tc>
        <w:tc>
          <w:tcPr>
            <w:tcW w:w="1020" w:type="dxa"/>
          </w:tcPr>
          <w:p>
            <w:pPr>
              <w:pStyle w:val="0"/>
            </w:pPr>
            <w:r>
              <w:rPr>
                <w:sz w:val="20"/>
              </w:rPr>
            </w:r>
          </w:p>
        </w:tc>
        <w:tc>
          <w:tcPr>
            <w:tcW w:w="907" w:type="dxa"/>
          </w:tcPr>
          <w:p>
            <w:pPr>
              <w:pStyle w:val="0"/>
            </w:pPr>
            <w:r>
              <w:rPr>
                <w:sz w:val="20"/>
              </w:rPr>
            </w:r>
          </w:p>
        </w:tc>
        <w:tc>
          <w:tcPr>
            <w:tcW w:w="1191" w:type="dxa"/>
          </w:tcPr>
          <w:p>
            <w:pPr>
              <w:pStyle w:val="0"/>
            </w:pPr>
            <w:r>
              <w:rPr>
                <w:sz w:val="20"/>
              </w:rPr>
            </w:r>
          </w:p>
        </w:tc>
      </w:tr>
      <w:tr>
        <w:tc>
          <w:tcPr>
            <w:gridSpan w:val="3"/>
            <w:tcW w:w="3372" w:type="dxa"/>
          </w:tcPr>
          <w:p>
            <w:pPr>
              <w:pStyle w:val="0"/>
            </w:pPr>
            <w:r>
              <w:rPr>
                <w:sz w:val="20"/>
              </w:rPr>
              <w:t xml:space="preserve">Итого по Белгородской области на ____ год:</w:t>
            </w:r>
          </w:p>
        </w:tc>
        <w:tc>
          <w:tcPr>
            <w:tcW w:w="1191" w:type="dxa"/>
          </w:tcPr>
          <w:p>
            <w:pPr>
              <w:pStyle w:val="0"/>
            </w:pPr>
            <w:r>
              <w:rPr>
                <w:sz w:val="20"/>
              </w:rPr>
            </w:r>
          </w:p>
        </w:tc>
        <w:tc>
          <w:tcPr>
            <w:tcW w:w="694" w:type="dxa"/>
          </w:tcPr>
          <w:p>
            <w:pPr>
              <w:pStyle w:val="0"/>
            </w:pPr>
            <w:r>
              <w:rPr>
                <w:sz w:val="20"/>
              </w:rPr>
            </w:r>
          </w:p>
        </w:tc>
        <w:tc>
          <w:tcPr>
            <w:tcW w:w="1134" w:type="dxa"/>
          </w:tcPr>
          <w:p>
            <w:pPr>
              <w:pStyle w:val="0"/>
            </w:pPr>
            <w:r>
              <w:rPr>
                <w:sz w:val="20"/>
              </w:rPr>
            </w:r>
          </w:p>
        </w:tc>
        <w:tc>
          <w:tcPr>
            <w:tcW w:w="1134" w:type="dxa"/>
          </w:tcPr>
          <w:p>
            <w:pPr>
              <w:pStyle w:val="0"/>
            </w:pPr>
            <w:r>
              <w:rPr>
                <w:sz w:val="20"/>
              </w:rPr>
            </w:r>
          </w:p>
        </w:tc>
        <w:tc>
          <w:tcPr>
            <w:tcW w:w="910" w:type="dxa"/>
          </w:tcPr>
          <w:p>
            <w:pPr>
              <w:pStyle w:val="0"/>
            </w:pPr>
            <w:r>
              <w:rPr>
                <w:sz w:val="20"/>
              </w:rPr>
            </w:r>
          </w:p>
        </w:tc>
        <w:tc>
          <w:tcPr>
            <w:tcW w:w="835" w:type="dxa"/>
          </w:tcPr>
          <w:p>
            <w:pPr>
              <w:pStyle w:val="0"/>
            </w:pPr>
            <w:r>
              <w:rPr>
                <w:sz w:val="20"/>
              </w:rPr>
            </w:r>
          </w:p>
        </w:tc>
        <w:tc>
          <w:tcPr>
            <w:tcW w:w="907" w:type="dxa"/>
          </w:tcPr>
          <w:p>
            <w:pPr>
              <w:pStyle w:val="0"/>
            </w:pPr>
            <w:r>
              <w:rPr>
                <w:sz w:val="20"/>
              </w:rPr>
            </w:r>
          </w:p>
        </w:tc>
        <w:tc>
          <w:tcPr>
            <w:tcW w:w="567" w:type="dxa"/>
          </w:tcPr>
          <w:p>
            <w:pPr>
              <w:pStyle w:val="0"/>
            </w:pPr>
            <w:r>
              <w:rPr>
                <w:sz w:val="20"/>
              </w:rPr>
            </w:r>
          </w:p>
        </w:tc>
        <w:tc>
          <w:tcPr>
            <w:tcW w:w="624" w:type="dxa"/>
          </w:tcPr>
          <w:p>
            <w:pPr>
              <w:pStyle w:val="0"/>
            </w:pPr>
            <w:r>
              <w:rPr>
                <w:sz w:val="20"/>
              </w:rPr>
            </w:r>
          </w:p>
        </w:tc>
        <w:tc>
          <w:tcPr>
            <w:tcW w:w="454" w:type="dxa"/>
          </w:tcPr>
          <w:p>
            <w:pPr>
              <w:pStyle w:val="0"/>
            </w:pPr>
            <w:r>
              <w:rPr>
                <w:sz w:val="20"/>
              </w:rPr>
            </w:r>
          </w:p>
        </w:tc>
        <w:tc>
          <w:tcPr>
            <w:tcW w:w="529" w:type="dxa"/>
          </w:tcPr>
          <w:p>
            <w:pPr>
              <w:pStyle w:val="0"/>
            </w:pPr>
            <w:r>
              <w:rPr>
                <w:sz w:val="20"/>
              </w:rPr>
            </w:r>
          </w:p>
        </w:tc>
        <w:tc>
          <w:tcPr>
            <w:tcW w:w="695" w:type="dxa"/>
          </w:tcPr>
          <w:p>
            <w:pPr>
              <w:pStyle w:val="0"/>
            </w:pPr>
            <w:r>
              <w:rPr>
                <w:sz w:val="20"/>
              </w:rPr>
            </w:r>
          </w:p>
        </w:tc>
        <w:tc>
          <w:tcPr>
            <w:tcW w:w="659" w:type="dxa"/>
          </w:tcPr>
          <w:p>
            <w:pPr>
              <w:pStyle w:val="0"/>
            </w:pPr>
            <w:r>
              <w:rPr>
                <w:sz w:val="20"/>
              </w:rPr>
            </w:r>
          </w:p>
        </w:tc>
        <w:tc>
          <w:tcPr>
            <w:tcW w:w="510" w:type="dxa"/>
          </w:tcPr>
          <w:p>
            <w:pPr>
              <w:pStyle w:val="0"/>
            </w:pPr>
            <w:r>
              <w:rPr>
                <w:sz w:val="20"/>
              </w:rPr>
            </w:r>
          </w:p>
        </w:tc>
        <w:tc>
          <w:tcPr>
            <w:tcW w:w="529" w:type="dxa"/>
          </w:tcPr>
          <w:p>
            <w:pPr>
              <w:pStyle w:val="0"/>
            </w:pPr>
            <w:r>
              <w:rPr>
                <w:sz w:val="20"/>
              </w:rPr>
            </w:r>
          </w:p>
        </w:tc>
        <w:tc>
          <w:tcPr>
            <w:tcW w:w="510" w:type="dxa"/>
          </w:tcPr>
          <w:p>
            <w:pPr>
              <w:pStyle w:val="0"/>
            </w:pPr>
            <w:r>
              <w:rPr>
                <w:sz w:val="20"/>
              </w:rPr>
            </w:r>
          </w:p>
        </w:tc>
        <w:tc>
          <w:tcPr>
            <w:tcW w:w="565" w:type="dxa"/>
          </w:tcPr>
          <w:p>
            <w:pPr>
              <w:pStyle w:val="0"/>
            </w:pPr>
            <w:r>
              <w:rPr>
                <w:sz w:val="20"/>
              </w:rPr>
            </w:r>
          </w:p>
        </w:tc>
        <w:tc>
          <w:tcPr>
            <w:tcW w:w="737" w:type="dxa"/>
          </w:tcPr>
          <w:p>
            <w:pPr>
              <w:pStyle w:val="0"/>
            </w:pPr>
            <w:r>
              <w:rPr>
                <w:sz w:val="20"/>
              </w:rPr>
            </w:r>
          </w:p>
        </w:tc>
        <w:tc>
          <w:tcPr>
            <w:tcW w:w="1531" w:type="dxa"/>
          </w:tcPr>
          <w:p>
            <w:pPr>
              <w:pStyle w:val="0"/>
            </w:pPr>
            <w:r>
              <w:rPr>
                <w:sz w:val="20"/>
              </w:rPr>
            </w:r>
          </w:p>
        </w:tc>
        <w:tc>
          <w:tcPr>
            <w:tcW w:w="1191" w:type="dxa"/>
          </w:tcPr>
          <w:p>
            <w:pPr>
              <w:pStyle w:val="0"/>
            </w:pPr>
            <w:r>
              <w:rPr>
                <w:sz w:val="20"/>
              </w:rPr>
            </w:r>
          </w:p>
        </w:tc>
        <w:tc>
          <w:tcPr>
            <w:tcW w:w="964" w:type="dxa"/>
          </w:tcPr>
          <w:p>
            <w:pPr>
              <w:pStyle w:val="0"/>
            </w:pPr>
            <w:r>
              <w:rPr>
                <w:sz w:val="20"/>
              </w:rPr>
            </w:r>
          </w:p>
        </w:tc>
        <w:tc>
          <w:tcPr>
            <w:tcW w:w="1020" w:type="dxa"/>
          </w:tcPr>
          <w:p>
            <w:pPr>
              <w:pStyle w:val="0"/>
            </w:pPr>
            <w:r>
              <w:rPr>
                <w:sz w:val="20"/>
              </w:rPr>
            </w:r>
          </w:p>
        </w:tc>
        <w:tc>
          <w:tcPr>
            <w:tcW w:w="907" w:type="dxa"/>
          </w:tcPr>
          <w:p>
            <w:pPr>
              <w:pStyle w:val="0"/>
            </w:pPr>
            <w:r>
              <w:rPr>
                <w:sz w:val="20"/>
              </w:rPr>
            </w:r>
          </w:p>
        </w:tc>
        <w:tc>
          <w:tcPr>
            <w:tcW w:w="1191" w:type="dxa"/>
          </w:tcPr>
          <w:p>
            <w:pPr>
              <w:pStyle w:val="0"/>
            </w:pPr>
            <w:r>
              <w:rPr>
                <w:sz w:val="20"/>
              </w:rPr>
            </w:r>
          </w:p>
        </w:tc>
      </w:tr>
      <w:tr>
        <w:tc>
          <w:tcPr>
            <w:gridSpan w:val="3"/>
            <w:tcW w:w="3372" w:type="dxa"/>
          </w:tcPr>
          <w:p>
            <w:pPr>
              <w:pStyle w:val="0"/>
            </w:pPr>
            <w:r>
              <w:rPr>
                <w:sz w:val="20"/>
              </w:rPr>
              <w:t xml:space="preserve">Итого по МО1</w:t>
            </w:r>
          </w:p>
        </w:tc>
        <w:tc>
          <w:tcPr>
            <w:tcW w:w="1191" w:type="dxa"/>
          </w:tcPr>
          <w:p>
            <w:pPr>
              <w:pStyle w:val="0"/>
            </w:pPr>
            <w:r>
              <w:rPr>
                <w:sz w:val="20"/>
              </w:rPr>
            </w:r>
          </w:p>
        </w:tc>
        <w:tc>
          <w:tcPr>
            <w:tcW w:w="694" w:type="dxa"/>
          </w:tcPr>
          <w:p>
            <w:pPr>
              <w:pStyle w:val="0"/>
            </w:pPr>
            <w:r>
              <w:rPr>
                <w:sz w:val="20"/>
              </w:rPr>
            </w:r>
          </w:p>
        </w:tc>
        <w:tc>
          <w:tcPr>
            <w:tcW w:w="1134" w:type="dxa"/>
          </w:tcPr>
          <w:p>
            <w:pPr>
              <w:pStyle w:val="0"/>
            </w:pPr>
            <w:r>
              <w:rPr>
                <w:sz w:val="20"/>
              </w:rPr>
            </w:r>
          </w:p>
        </w:tc>
        <w:tc>
          <w:tcPr>
            <w:tcW w:w="1134" w:type="dxa"/>
          </w:tcPr>
          <w:p>
            <w:pPr>
              <w:pStyle w:val="0"/>
            </w:pPr>
            <w:r>
              <w:rPr>
                <w:sz w:val="20"/>
              </w:rPr>
            </w:r>
          </w:p>
        </w:tc>
        <w:tc>
          <w:tcPr>
            <w:tcW w:w="910" w:type="dxa"/>
          </w:tcPr>
          <w:p>
            <w:pPr>
              <w:pStyle w:val="0"/>
            </w:pPr>
            <w:r>
              <w:rPr>
                <w:sz w:val="20"/>
              </w:rPr>
            </w:r>
          </w:p>
        </w:tc>
        <w:tc>
          <w:tcPr>
            <w:tcW w:w="835" w:type="dxa"/>
          </w:tcPr>
          <w:p>
            <w:pPr>
              <w:pStyle w:val="0"/>
            </w:pPr>
            <w:r>
              <w:rPr>
                <w:sz w:val="20"/>
              </w:rPr>
            </w:r>
          </w:p>
        </w:tc>
        <w:tc>
          <w:tcPr>
            <w:tcW w:w="907" w:type="dxa"/>
          </w:tcPr>
          <w:p>
            <w:pPr>
              <w:pStyle w:val="0"/>
            </w:pPr>
            <w:r>
              <w:rPr>
                <w:sz w:val="20"/>
              </w:rPr>
            </w:r>
          </w:p>
        </w:tc>
        <w:tc>
          <w:tcPr>
            <w:tcW w:w="567" w:type="dxa"/>
          </w:tcPr>
          <w:p>
            <w:pPr>
              <w:pStyle w:val="0"/>
            </w:pPr>
            <w:r>
              <w:rPr>
                <w:sz w:val="20"/>
              </w:rPr>
            </w:r>
          </w:p>
        </w:tc>
        <w:tc>
          <w:tcPr>
            <w:tcW w:w="624" w:type="dxa"/>
          </w:tcPr>
          <w:p>
            <w:pPr>
              <w:pStyle w:val="0"/>
            </w:pPr>
            <w:r>
              <w:rPr>
                <w:sz w:val="20"/>
              </w:rPr>
            </w:r>
          </w:p>
        </w:tc>
        <w:tc>
          <w:tcPr>
            <w:tcW w:w="454" w:type="dxa"/>
          </w:tcPr>
          <w:p>
            <w:pPr>
              <w:pStyle w:val="0"/>
            </w:pPr>
            <w:r>
              <w:rPr>
                <w:sz w:val="20"/>
              </w:rPr>
            </w:r>
          </w:p>
        </w:tc>
        <w:tc>
          <w:tcPr>
            <w:tcW w:w="529" w:type="dxa"/>
          </w:tcPr>
          <w:p>
            <w:pPr>
              <w:pStyle w:val="0"/>
            </w:pPr>
            <w:r>
              <w:rPr>
                <w:sz w:val="20"/>
              </w:rPr>
            </w:r>
          </w:p>
        </w:tc>
        <w:tc>
          <w:tcPr>
            <w:tcW w:w="695" w:type="dxa"/>
          </w:tcPr>
          <w:p>
            <w:pPr>
              <w:pStyle w:val="0"/>
            </w:pPr>
            <w:r>
              <w:rPr>
                <w:sz w:val="20"/>
              </w:rPr>
            </w:r>
          </w:p>
        </w:tc>
        <w:tc>
          <w:tcPr>
            <w:tcW w:w="659" w:type="dxa"/>
          </w:tcPr>
          <w:p>
            <w:pPr>
              <w:pStyle w:val="0"/>
            </w:pPr>
            <w:r>
              <w:rPr>
                <w:sz w:val="20"/>
              </w:rPr>
            </w:r>
          </w:p>
        </w:tc>
        <w:tc>
          <w:tcPr>
            <w:tcW w:w="510" w:type="dxa"/>
          </w:tcPr>
          <w:p>
            <w:pPr>
              <w:pStyle w:val="0"/>
            </w:pPr>
            <w:r>
              <w:rPr>
                <w:sz w:val="20"/>
              </w:rPr>
            </w:r>
          </w:p>
        </w:tc>
        <w:tc>
          <w:tcPr>
            <w:tcW w:w="529" w:type="dxa"/>
          </w:tcPr>
          <w:p>
            <w:pPr>
              <w:pStyle w:val="0"/>
            </w:pPr>
            <w:r>
              <w:rPr>
                <w:sz w:val="20"/>
              </w:rPr>
            </w:r>
          </w:p>
        </w:tc>
        <w:tc>
          <w:tcPr>
            <w:tcW w:w="510" w:type="dxa"/>
          </w:tcPr>
          <w:p>
            <w:pPr>
              <w:pStyle w:val="0"/>
            </w:pPr>
            <w:r>
              <w:rPr>
                <w:sz w:val="20"/>
              </w:rPr>
            </w:r>
          </w:p>
        </w:tc>
        <w:tc>
          <w:tcPr>
            <w:tcW w:w="565" w:type="dxa"/>
          </w:tcPr>
          <w:p>
            <w:pPr>
              <w:pStyle w:val="0"/>
            </w:pPr>
            <w:r>
              <w:rPr>
                <w:sz w:val="20"/>
              </w:rPr>
            </w:r>
          </w:p>
        </w:tc>
        <w:tc>
          <w:tcPr>
            <w:tcW w:w="737" w:type="dxa"/>
          </w:tcPr>
          <w:p>
            <w:pPr>
              <w:pStyle w:val="0"/>
            </w:pPr>
            <w:r>
              <w:rPr>
                <w:sz w:val="20"/>
              </w:rPr>
            </w:r>
          </w:p>
        </w:tc>
        <w:tc>
          <w:tcPr>
            <w:tcW w:w="1531" w:type="dxa"/>
          </w:tcPr>
          <w:p>
            <w:pPr>
              <w:pStyle w:val="0"/>
            </w:pPr>
            <w:r>
              <w:rPr>
                <w:sz w:val="20"/>
              </w:rPr>
            </w:r>
          </w:p>
        </w:tc>
        <w:tc>
          <w:tcPr>
            <w:tcW w:w="1191" w:type="dxa"/>
          </w:tcPr>
          <w:p>
            <w:pPr>
              <w:pStyle w:val="0"/>
            </w:pPr>
            <w:r>
              <w:rPr>
                <w:sz w:val="20"/>
              </w:rPr>
            </w:r>
          </w:p>
        </w:tc>
        <w:tc>
          <w:tcPr>
            <w:tcW w:w="964" w:type="dxa"/>
          </w:tcPr>
          <w:p>
            <w:pPr>
              <w:pStyle w:val="0"/>
            </w:pPr>
            <w:r>
              <w:rPr>
                <w:sz w:val="20"/>
              </w:rPr>
            </w:r>
          </w:p>
        </w:tc>
        <w:tc>
          <w:tcPr>
            <w:tcW w:w="1020" w:type="dxa"/>
          </w:tcPr>
          <w:p>
            <w:pPr>
              <w:pStyle w:val="0"/>
            </w:pPr>
            <w:r>
              <w:rPr>
                <w:sz w:val="20"/>
              </w:rPr>
            </w:r>
          </w:p>
        </w:tc>
        <w:tc>
          <w:tcPr>
            <w:tcW w:w="907" w:type="dxa"/>
          </w:tcPr>
          <w:p>
            <w:pPr>
              <w:pStyle w:val="0"/>
            </w:pPr>
            <w:r>
              <w:rPr>
                <w:sz w:val="20"/>
              </w:rPr>
            </w:r>
          </w:p>
        </w:tc>
        <w:tc>
          <w:tcPr>
            <w:tcW w:w="1191" w:type="dxa"/>
          </w:tcPr>
          <w:p>
            <w:pPr>
              <w:pStyle w:val="0"/>
            </w:pPr>
            <w:r>
              <w:rPr>
                <w:sz w:val="20"/>
              </w:rPr>
            </w:r>
          </w:p>
        </w:tc>
      </w:tr>
      <w:tr>
        <w:tc>
          <w:tcPr>
            <w:tcW w:w="514" w:type="dxa"/>
          </w:tcPr>
          <w:p>
            <w:pPr>
              <w:pStyle w:val="0"/>
              <w:jc w:val="center"/>
            </w:pPr>
            <w:r>
              <w:rPr>
                <w:sz w:val="20"/>
              </w:rPr>
              <w:t xml:space="preserve">1</w:t>
            </w:r>
          </w:p>
        </w:tc>
        <w:tc>
          <w:tcPr>
            <w:tcW w:w="844" w:type="dxa"/>
          </w:tcPr>
          <w:p>
            <w:pPr>
              <w:pStyle w:val="0"/>
              <w:jc w:val="center"/>
            </w:pPr>
            <w:r>
              <w:rPr>
                <w:sz w:val="20"/>
              </w:rPr>
              <w:t xml:space="preserve">1</w:t>
            </w:r>
          </w:p>
        </w:tc>
        <w:tc>
          <w:tcPr>
            <w:tcW w:w="2014" w:type="dxa"/>
          </w:tcPr>
          <w:p>
            <w:pPr>
              <w:pStyle w:val="0"/>
            </w:pPr>
            <w:r>
              <w:rPr>
                <w:sz w:val="20"/>
              </w:rPr>
            </w:r>
          </w:p>
        </w:tc>
        <w:tc>
          <w:tcPr>
            <w:tcW w:w="1191" w:type="dxa"/>
          </w:tcPr>
          <w:p>
            <w:pPr>
              <w:pStyle w:val="0"/>
            </w:pPr>
            <w:r>
              <w:rPr>
                <w:sz w:val="20"/>
              </w:rPr>
            </w:r>
          </w:p>
        </w:tc>
        <w:tc>
          <w:tcPr>
            <w:tcW w:w="694" w:type="dxa"/>
          </w:tcPr>
          <w:p>
            <w:pPr>
              <w:pStyle w:val="0"/>
            </w:pPr>
            <w:r>
              <w:rPr>
                <w:sz w:val="20"/>
              </w:rPr>
            </w:r>
          </w:p>
        </w:tc>
        <w:tc>
          <w:tcPr>
            <w:tcW w:w="1134" w:type="dxa"/>
          </w:tcPr>
          <w:p>
            <w:pPr>
              <w:pStyle w:val="0"/>
            </w:pPr>
            <w:r>
              <w:rPr>
                <w:sz w:val="20"/>
              </w:rPr>
            </w:r>
          </w:p>
        </w:tc>
        <w:tc>
          <w:tcPr>
            <w:tcW w:w="1134" w:type="dxa"/>
          </w:tcPr>
          <w:p>
            <w:pPr>
              <w:pStyle w:val="0"/>
            </w:pPr>
            <w:r>
              <w:rPr>
                <w:sz w:val="20"/>
              </w:rPr>
            </w:r>
          </w:p>
        </w:tc>
        <w:tc>
          <w:tcPr>
            <w:tcW w:w="910" w:type="dxa"/>
          </w:tcPr>
          <w:p>
            <w:pPr>
              <w:pStyle w:val="0"/>
            </w:pPr>
            <w:r>
              <w:rPr>
                <w:sz w:val="20"/>
              </w:rPr>
            </w:r>
          </w:p>
        </w:tc>
        <w:tc>
          <w:tcPr>
            <w:tcW w:w="835" w:type="dxa"/>
          </w:tcPr>
          <w:p>
            <w:pPr>
              <w:pStyle w:val="0"/>
            </w:pPr>
            <w:r>
              <w:rPr>
                <w:sz w:val="20"/>
              </w:rPr>
            </w:r>
          </w:p>
        </w:tc>
        <w:tc>
          <w:tcPr>
            <w:tcW w:w="907" w:type="dxa"/>
          </w:tcPr>
          <w:p>
            <w:pPr>
              <w:pStyle w:val="0"/>
            </w:pPr>
            <w:r>
              <w:rPr>
                <w:sz w:val="20"/>
              </w:rPr>
            </w:r>
          </w:p>
        </w:tc>
        <w:tc>
          <w:tcPr>
            <w:tcW w:w="567" w:type="dxa"/>
          </w:tcPr>
          <w:p>
            <w:pPr>
              <w:pStyle w:val="0"/>
            </w:pPr>
            <w:r>
              <w:rPr>
                <w:sz w:val="20"/>
              </w:rPr>
            </w:r>
          </w:p>
        </w:tc>
        <w:tc>
          <w:tcPr>
            <w:tcW w:w="624" w:type="dxa"/>
          </w:tcPr>
          <w:p>
            <w:pPr>
              <w:pStyle w:val="0"/>
            </w:pPr>
            <w:r>
              <w:rPr>
                <w:sz w:val="20"/>
              </w:rPr>
            </w:r>
          </w:p>
        </w:tc>
        <w:tc>
          <w:tcPr>
            <w:tcW w:w="454" w:type="dxa"/>
          </w:tcPr>
          <w:p>
            <w:pPr>
              <w:pStyle w:val="0"/>
            </w:pPr>
            <w:r>
              <w:rPr>
                <w:sz w:val="20"/>
              </w:rPr>
            </w:r>
          </w:p>
        </w:tc>
        <w:tc>
          <w:tcPr>
            <w:tcW w:w="529" w:type="dxa"/>
          </w:tcPr>
          <w:p>
            <w:pPr>
              <w:pStyle w:val="0"/>
            </w:pPr>
            <w:r>
              <w:rPr>
                <w:sz w:val="20"/>
              </w:rPr>
            </w:r>
          </w:p>
        </w:tc>
        <w:tc>
          <w:tcPr>
            <w:tcW w:w="695" w:type="dxa"/>
          </w:tcPr>
          <w:p>
            <w:pPr>
              <w:pStyle w:val="0"/>
            </w:pPr>
            <w:r>
              <w:rPr>
                <w:sz w:val="20"/>
              </w:rPr>
            </w:r>
          </w:p>
        </w:tc>
        <w:tc>
          <w:tcPr>
            <w:tcW w:w="659" w:type="dxa"/>
          </w:tcPr>
          <w:p>
            <w:pPr>
              <w:pStyle w:val="0"/>
            </w:pPr>
            <w:r>
              <w:rPr>
                <w:sz w:val="20"/>
              </w:rPr>
            </w:r>
          </w:p>
        </w:tc>
        <w:tc>
          <w:tcPr>
            <w:tcW w:w="510" w:type="dxa"/>
          </w:tcPr>
          <w:p>
            <w:pPr>
              <w:pStyle w:val="0"/>
            </w:pPr>
            <w:r>
              <w:rPr>
                <w:sz w:val="20"/>
              </w:rPr>
            </w:r>
          </w:p>
        </w:tc>
        <w:tc>
          <w:tcPr>
            <w:tcW w:w="529" w:type="dxa"/>
          </w:tcPr>
          <w:p>
            <w:pPr>
              <w:pStyle w:val="0"/>
            </w:pPr>
            <w:r>
              <w:rPr>
                <w:sz w:val="20"/>
              </w:rPr>
            </w:r>
          </w:p>
        </w:tc>
        <w:tc>
          <w:tcPr>
            <w:tcW w:w="510" w:type="dxa"/>
          </w:tcPr>
          <w:p>
            <w:pPr>
              <w:pStyle w:val="0"/>
            </w:pPr>
            <w:r>
              <w:rPr>
                <w:sz w:val="20"/>
              </w:rPr>
            </w:r>
          </w:p>
        </w:tc>
        <w:tc>
          <w:tcPr>
            <w:tcW w:w="565" w:type="dxa"/>
          </w:tcPr>
          <w:p>
            <w:pPr>
              <w:pStyle w:val="0"/>
            </w:pPr>
            <w:r>
              <w:rPr>
                <w:sz w:val="20"/>
              </w:rPr>
            </w:r>
          </w:p>
        </w:tc>
        <w:tc>
          <w:tcPr>
            <w:tcW w:w="737" w:type="dxa"/>
          </w:tcPr>
          <w:p>
            <w:pPr>
              <w:pStyle w:val="0"/>
            </w:pPr>
            <w:r>
              <w:rPr>
                <w:sz w:val="20"/>
              </w:rPr>
            </w:r>
          </w:p>
        </w:tc>
        <w:tc>
          <w:tcPr>
            <w:tcW w:w="1531" w:type="dxa"/>
          </w:tcPr>
          <w:p>
            <w:pPr>
              <w:pStyle w:val="0"/>
            </w:pPr>
            <w:r>
              <w:rPr>
                <w:sz w:val="20"/>
              </w:rPr>
            </w:r>
          </w:p>
        </w:tc>
        <w:tc>
          <w:tcPr>
            <w:tcW w:w="1191" w:type="dxa"/>
          </w:tcPr>
          <w:p>
            <w:pPr>
              <w:pStyle w:val="0"/>
            </w:pPr>
            <w:r>
              <w:rPr>
                <w:sz w:val="20"/>
              </w:rPr>
            </w:r>
          </w:p>
        </w:tc>
        <w:tc>
          <w:tcPr>
            <w:tcW w:w="964" w:type="dxa"/>
          </w:tcPr>
          <w:p>
            <w:pPr>
              <w:pStyle w:val="0"/>
            </w:pPr>
            <w:r>
              <w:rPr>
                <w:sz w:val="20"/>
              </w:rPr>
            </w:r>
          </w:p>
        </w:tc>
        <w:tc>
          <w:tcPr>
            <w:tcW w:w="1020" w:type="dxa"/>
          </w:tcPr>
          <w:p>
            <w:pPr>
              <w:pStyle w:val="0"/>
            </w:pPr>
            <w:r>
              <w:rPr>
                <w:sz w:val="20"/>
              </w:rPr>
            </w:r>
          </w:p>
        </w:tc>
        <w:tc>
          <w:tcPr>
            <w:tcW w:w="907" w:type="dxa"/>
          </w:tcPr>
          <w:p>
            <w:pPr>
              <w:pStyle w:val="0"/>
            </w:pPr>
            <w:r>
              <w:rPr>
                <w:sz w:val="20"/>
              </w:rPr>
            </w:r>
          </w:p>
        </w:tc>
        <w:tc>
          <w:tcPr>
            <w:tcW w:w="1191" w:type="dxa"/>
          </w:tcPr>
          <w:p>
            <w:pPr>
              <w:pStyle w:val="0"/>
            </w:pPr>
            <w:r>
              <w:rPr>
                <w:sz w:val="20"/>
              </w:rPr>
            </w:r>
          </w:p>
        </w:tc>
      </w:tr>
      <w:tr>
        <w:tc>
          <w:tcPr>
            <w:tcW w:w="514" w:type="dxa"/>
          </w:tcPr>
          <w:p>
            <w:pPr>
              <w:pStyle w:val="0"/>
              <w:jc w:val="center"/>
            </w:pPr>
            <w:r>
              <w:rPr>
                <w:sz w:val="20"/>
              </w:rPr>
              <w:t xml:space="preserve">...</w:t>
            </w:r>
          </w:p>
        </w:tc>
        <w:tc>
          <w:tcPr>
            <w:tcW w:w="844" w:type="dxa"/>
          </w:tcPr>
          <w:p>
            <w:pPr>
              <w:pStyle w:val="0"/>
              <w:jc w:val="center"/>
            </w:pPr>
            <w:r>
              <w:rPr>
                <w:sz w:val="20"/>
              </w:rPr>
              <w:t xml:space="preserve">...</w:t>
            </w:r>
          </w:p>
        </w:tc>
        <w:tc>
          <w:tcPr>
            <w:tcW w:w="2014" w:type="dxa"/>
          </w:tcPr>
          <w:p>
            <w:pPr>
              <w:pStyle w:val="0"/>
            </w:pPr>
            <w:r>
              <w:rPr>
                <w:sz w:val="20"/>
              </w:rPr>
            </w:r>
          </w:p>
        </w:tc>
        <w:tc>
          <w:tcPr>
            <w:tcW w:w="1191" w:type="dxa"/>
          </w:tcPr>
          <w:p>
            <w:pPr>
              <w:pStyle w:val="0"/>
            </w:pPr>
            <w:r>
              <w:rPr>
                <w:sz w:val="20"/>
              </w:rPr>
            </w:r>
          </w:p>
        </w:tc>
        <w:tc>
          <w:tcPr>
            <w:tcW w:w="694" w:type="dxa"/>
          </w:tcPr>
          <w:p>
            <w:pPr>
              <w:pStyle w:val="0"/>
            </w:pPr>
            <w:r>
              <w:rPr>
                <w:sz w:val="20"/>
              </w:rPr>
            </w:r>
          </w:p>
        </w:tc>
        <w:tc>
          <w:tcPr>
            <w:tcW w:w="1134" w:type="dxa"/>
          </w:tcPr>
          <w:p>
            <w:pPr>
              <w:pStyle w:val="0"/>
            </w:pPr>
            <w:r>
              <w:rPr>
                <w:sz w:val="20"/>
              </w:rPr>
            </w:r>
          </w:p>
        </w:tc>
        <w:tc>
          <w:tcPr>
            <w:tcW w:w="1134" w:type="dxa"/>
          </w:tcPr>
          <w:p>
            <w:pPr>
              <w:pStyle w:val="0"/>
            </w:pPr>
            <w:r>
              <w:rPr>
                <w:sz w:val="20"/>
              </w:rPr>
            </w:r>
          </w:p>
        </w:tc>
        <w:tc>
          <w:tcPr>
            <w:tcW w:w="910" w:type="dxa"/>
          </w:tcPr>
          <w:p>
            <w:pPr>
              <w:pStyle w:val="0"/>
            </w:pPr>
            <w:r>
              <w:rPr>
                <w:sz w:val="20"/>
              </w:rPr>
            </w:r>
          </w:p>
        </w:tc>
        <w:tc>
          <w:tcPr>
            <w:tcW w:w="835" w:type="dxa"/>
          </w:tcPr>
          <w:p>
            <w:pPr>
              <w:pStyle w:val="0"/>
            </w:pPr>
            <w:r>
              <w:rPr>
                <w:sz w:val="20"/>
              </w:rPr>
            </w:r>
          </w:p>
        </w:tc>
        <w:tc>
          <w:tcPr>
            <w:tcW w:w="907" w:type="dxa"/>
          </w:tcPr>
          <w:p>
            <w:pPr>
              <w:pStyle w:val="0"/>
            </w:pPr>
            <w:r>
              <w:rPr>
                <w:sz w:val="20"/>
              </w:rPr>
            </w:r>
          </w:p>
        </w:tc>
        <w:tc>
          <w:tcPr>
            <w:tcW w:w="567" w:type="dxa"/>
          </w:tcPr>
          <w:p>
            <w:pPr>
              <w:pStyle w:val="0"/>
            </w:pPr>
            <w:r>
              <w:rPr>
                <w:sz w:val="20"/>
              </w:rPr>
            </w:r>
          </w:p>
        </w:tc>
        <w:tc>
          <w:tcPr>
            <w:tcW w:w="624" w:type="dxa"/>
          </w:tcPr>
          <w:p>
            <w:pPr>
              <w:pStyle w:val="0"/>
            </w:pPr>
            <w:r>
              <w:rPr>
                <w:sz w:val="20"/>
              </w:rPr>
            </w:r>
          </w:p>
        </w:tc>
        <w:tc>
          <w:tcPr>
            <w:tcW w:w="454" w:type="dxa"/>
          </w:tcPr>
          <w:p>
            <w:pPr>
              <w:pStyle w:val="0"/>
            </w:pPr>
            <w:r>
              <w:rPr>
                <w:sz w:val="20"/>
              </w:rPr>
            </w:r>
          </w:p>
        </w:tc>
        <w:tc>
          <w:tcPr>
            <w:tcW w:w="529" w:type="dxa"/>
          </w:tcPr>
          <w:p>
            <w:pPr>
              <w:pStyle w:val="0"/>
            </w:pPr>
            <w:r>
              <w:rPr>
                <w:sz w:val="20"/>
              </w:rPr>
            </w:r>
          </w:p>
        </w:tc>
        <w:tc>
          <w:tcPr>
            <w:tcW w:w="695" w:type="dxa"/>
          </w:tcPr>
          <w:p>
            <w:pPr>
              <w:pStyle w:val="0"/>
            </w:pPr>
            <w:r>
              <w:rPr>
                <w:sz w:val="20"/>
              </w:rPr>
            </w:r>
          </w:p>
        </w:tc>
        <w:tc>
          <w:tcPr>
            <w:tcW w:w="659" w:type="dxa"/>
          </w:tcPr>
          <w:p>
            <w:pPr>
              <w:pStyle w:val="0"/>
            </w:pPr>
            <w:r>
              <w:rPr>
                <w:sz w:val="20"/>
              </w:rPr>
            </w:r>
          </w:p>
        </w:tc>
        <w:tc>
          <w:tcPr>
            <w:tcW w:w="510" w:type="dxa"/>
          </w:tcPr>
          <w:p>
            <w:pPr>
              <w:pStyle w:val="0"/>
            </w:pPr>
            <w:r>
              <w:rPr>
                <w:sz w:val="20"/>
              </w:rPr>
            </w:r>
          </w:p>
        </w:tc>
        <w:tc>
          <w:tcPr>
            <w:tcW w:w="529" w:type="dxa"/>
          </w:tcPr>
          <w:p>
            <w:pPr>
              <w:pStyle w:val="0"/>
            </w:pPr>
            <w:r>
              <w:rPr>
                <w:sz w:val="20"/>
              </w:rPr>
            </w:r>
          </w:p>
        </w:tc>
        <w:tc>
          <w:tcPr>
            <w:tcW w:w="510" w:type="dxa"/>
          </w:tcPr>
          <w:p>
            <w:pPr>
              <w:pStyle w:val="0"/>
            </w:pPr>
            <w:r>
              <w:rPr>
                <w:sz w:val="20"/>
              </w:rPr>
            </w:r>
          </w:p>
        </w:tc>
        <w:tc>
          <w:tcPr>
            <w:tcW w:w="565" w:type="dxa"/>
          </w:tcPr>
          <w:p>
            <w:pPr>
              <w:pStyle w:val="0"/>
            </w:pPr>
            <w:r>
              <w:rPr>
                <w:sz w:val="20"/>
              </w:rPr>
            </w:r>
          </w:p>
        </w:tc>
        <w:tc>
          <w:tcPr>
            <w:tcW w:w="737" w:type="dxa"/>
          </w:tcPr>
          <w:p>
            <w:pPr>
              <w:pStyle w:val="0"/>
            </w:pPr>
            <w:r>
              <w:rPr>
                <w:sz w:val="20"/>
              </w:rPr>
            </w:r>
          </w:p>
        </w:tc>
        <w:tc>
          <w:tcPr>
            <w:tcW w:w="1531" w:type="dxa"/>
          </w:tcPr>
          <w:p>
            <w:pPr>
              <w:pStyle w:val="0"/>
            </w:pPr>
            <w:r>
              <w:rPr>
                <w:sz w:val="20"/>
              </w:rPr>
            </w:r>
          </w:p>
        </w:tc>
        <w:tc>
          <w:tcPr>
            <w:tcW w:w="1191" w:type="dxa"/>
          </w:tcPr>
          <w:p>
            <w:pPr>
              <w:pStyle w:val="0"/>
            </w:pPr>
            <w:r>
              <w:rPr>
                <w:sz w:val="20"/>
              </w:rPr>
            </w:r>
          </w:p>
        </w:tc>
        <w:tc>
          <w:tcPr>
            <w:tcW w:w="964" w:type="dxa"/>
          </w:tcPr>
          <w:p>
            <w:pPr>
              <w:pStyle w:val="0"/>
            </w:pPr>
            <w:r>
              <w:rPr>
                <w:sz w:val="20"/>
              </w:rPr>
            </w:r>
          </w:p>
        </w:tc>
        <w:tc>
          <w:tcPr>
            <w:tcW w:w="1020" w:type="dxa"/>
          </w:tcPr>
          <w:p>
            <w:pPr>
              <w:pStyle w:val="0"/>
            </w:pPr>
            <w:r>
              <w:rPr>
                <w:sz w:val="20"/>
              </w:rPr>
            </w:r>
          </w:p>
        </w:tc>
        <w:tc>
          <w:tcPr>
            <w:tcW w:w="907" w:type="dxa"/>
          </w:tcPr>
          <w:p>
            <w:pPr>
              <w:pStyle w:val="0"/>
            </w:pPr>
            <w:r>
              <w:rPr>
                <w:sz w:val="20"/>
              </w:rPr>
            </w:r>
          </w:p>
        </w:tc>
        <w:tc>
          <w:tcPr>
            <w:tcW w:w="1191" w:type="dxa"/>
          </w:tcPr>
          <w:p>
            <w:pPr>
              <w:pStyle w:val="0"/>
            </w:pPr>
            <w:r>
              <w:rPr>
                <w:sz w:val="20"/>
              </w:rPr>
            </w:r>
          </w:p>
        </w:tc>
      </w:tr>
      <w:tr>
        <w:tc>
          <w:tcPr>
            <w:tcW w:w="514" w:type="dxa"/>
            <w:vAlign w:val="center"/>
          </w:tcPr>
          <w:p>
            <w:pPr>
              <w:pStyle w:val="0"/>
              <w:jc w:val="center"/>
            </w:pPr>
            <w:r>
              <w:rPr>
                <w:sz w:val="20"/>
              </w:rPr>
              <w:t xml:space="preserve">n</w:t>
            </w:r>
          </w:p>
        </w:tc>
        <w:tc>
          <w:tcPr>
            <w:tcW w:w="844" w:type="dxa"/>
            <w:vAlign w:val="center"/>
          </w:tcPr>
          <w:p>
            <w:pPr>
              <w:pStyle w:val="0"/>
              <w:jc w:val="center"/>
            </w:pPr>
            <w:r>
              <w:rPr>
                <w:sz w:val="20"/>
              </w:rPr>
              <w:t xml:space="preserve">m</w:t>
            </w:r>
          </w:p>
        </w:tc>
        <w:tc>
          <w:tcPr>
            <w:tcW w:w="2014" w:type="dxa"/>
          </w:tcPr>
          <w:p>
            <w:pPr>
              <w:pStyle w:val="0"/>
            </w:pPr>
            <w:r>
              <w:rPr>
                <w:sz w:val="20"/>
              </w:rPr>
            </w:r>
          </w:p>
        </w:tc>
        <w:tc>
          <w:tcPr>
            <w:tcW w:w="1191" w:type="dxa"/>
          </w:tcPr>
          <w:p>
            <w:pPr>
              <w:pStyle w:val="0"/>
            </w:pPr>
            <w:r>
              <w:rPr>
                <w:sz w:val="20"/>
              </w:rPr>
            </w:r>
          </w:p>
        </w:tc>
        <w:tc>
          <w:tcPr>
            <w:tcW w:w="694" w:type="dxa"/>
          </w:tcPr>
          <w:p>
            <w:pPr>
              <w:pStyle w:val="0"/>
            </w:pPr>
            <w:r>
              <w:rPr>
                <w:sz w:val="20"/>
              </w:rPr>
            </w:r>
          </w:p>
        </w:tc>
        <w:tc>
          <w:tcPr>
            <w:tcW w:w="1134" w:type="dxa"/>
          </w:tcPr>
          <w:p>
            <w:pPr>
              <w:pStyle w:val="0"/>
            </w:pPr>
            <w:r>
              <w:rPr>
                <w:sz w:val="20"/>
              </w:rPr>
            </w:r>
          </w:p>
        </w:tc>
        <w:tc>
          <w:tcPr>
            <w:tcW w:w="1134" w:type="dxa"/>
          </w:tcPr>
          <w:p>
            <w:pPr>
              <w:pStyle w:val="0"/>
            </w:pPr>
            <w:r>
              <w:rPr>
                <w:sz w:val="20"/>
              </w:rPr>
            </w:r>
          </w:p>
        </w:tc>
        <w:tc>
          <w:tcPr>
            <w:tcW w:w="910" w:type="dxa"/>
          </w:tcPr>
          <w:p>
            <w:pPr>
              <w:pStyle w:val="0"/>
            </w:pPr>
            <w:r>
              <w:rPr>
                <w:sz w:val="20"/>
              </w:rPr>
            </w:r>
          </w:p>
        </w:tc>
        <w:tc>
          <w:tcPr>
            <w:tcW w:w="835" w:type="dxa"/>
          </w:tcPr>
          <w:p>
            <w:pPr>
              <w:pStyle w:val="0"/>
            </w:pPr>
            <w:r>
              <w:rPr>
                <w:sz w:val="20"/>
              </w:rPr>
            </w:r>
          </w:p>
        </w:tc>
        <w:tc>
          <w:tcPr>
            <w:tcW w:w="907" w:type="dxa"/>
          </w:tcPr>
          <w:p>
            <w:pPr>
              <w:pStyle w:val="0"/>
            </w:pPr>
            <w:r>
              <w:rPr>
                <w:sz w:val="20"/>
              </w:rPr>
            </w:r>
          </w:p>
        </w:tc>
        <w:tc>
          <w:tcPr>
            <w:tcW w:w="567" w:type="dxa"/>
          </w:tcPr>
          <w:p>
            <w:pPr>
              <w:pStyle w:val="0"/>
            </w:pPr>
            <w:r>
              <w:rPr>
                <w:sz w:val="20"/>
              </w:rPr>
            </w:r>
          </w:p>
        </w:tc>
        <w:tc>
          <w:tcPr>
            <w:tcW w:w="624" w:type="dxa"/>
          </w:tcPr>
          <w:p>
            <w:pPr>
              <w:pStyle w:val="0"/>
            </w:pPr>
            <w:r>
              <w:rPr>
                <w:sz w:val="20"/>
              </w:rPr>
            </w:r>
          </w:p>
        </w:tc>
        <w:tc>
          <w:tcPr>
            <w:tcW w:w="454" w:type="dxa"/>
          </w:tcPr>
          <w:p>
            <w:pPr>
              <w:pStyle w:val="0"/>
            </w:pPr>
            <w:r>
              <w:rPr>
                <w:sz w:val="20"/>
              </w:rPr>
            </w:r>
          </w:p>
        </w:tc>
        <w:tc>
          <w:tcPr>
            <w:tcW w:w="529" w:type="dxa"/>
          </w:tcPr>
          <w:p>
            <w:pPr>
              <w:pStyle w:val="0"/>
            </w:pPr>
            <w:r>
              <w:rPr>
                <w:sz w:val="20"/>
              </w:rPr>
            </w:r>
          </w:p>
        </w:tc>
        <w:tc>
          <w:tcPr>
            <w:tcW w:w="695" w:type="dxa"/>
          </w:tcPr>
          <w:p>
            <w:pPr>
              <w:pStyle w:val="0"/>
            </w:pPr>
            <w:r>
              <w:rPr>
                <w:sz w:val="20"/>
              </w:rPr>
            </w:r>
          </w:p>
        </w:tc>
        <w:tc>
          <w:tcPr>
            <w:tcW w:w="659" w:type="dxa"/>
          </w:tcPr>
          <w:p>
            <w:pPr>
              <w:pStyle w:val="0"/>
            </w:pPr>
            <w:r>
              <w:rPr>
                <w:sz w:val="20"/>
              </w:rPr>
            </w:r>
          </w:p>
        </w:tc>
        <w:tc>
          <w:tcPr>
            <w:tcW w:w="510" w:type="dxa"/>
          </w:tcPr>
          <w:p>
            <w:pPr>
              <w:pStyle w:val="0"/>
            </w:pPr>
            <w:r>
              <w:rPr>
                <w:sz w:val="20"/>
              </w:rPr>
            </w:r>
          </w:p>
        </w:tc>
        <w:tc>
          <w:tcPr>
            <w:tcW w:w="529" w:type="dxa"/>
          </w:tcPr>
          <w:p>
            <w:pPr>
              <w:pStyle w:val="0"/>
            </w:pPr>
            <w:r>
              <w:rPr>
                <w:sz w:val="20"/>
              </w:rPr>
            </w:r>
          </w:p>
        </w:tc>
        <w:tc>
          <w:tcPr>
            <w:tcW w:w="510" w:type="dxa"/>
          </w:tcPr>
          <w:p>
            <w:pPr>
              <w:pStyle w:val="0"/>
            </w:pPr>
            <w:r>
              <w:rPr>
                <w:sz w:val="20"/>
              </w:rPr>
            </w:r>
          </w:p>
        </w:tc>
        <w:tc>
          <w:tcPr>
            <w:tcW w:w="565" w:type="dxa"/>
          </w:tcPr>
          <w:p>
            <w:pPr>
              <w:pStyle w:val="0"/>
            </w:pPr>
            <w:r>
              <w:rPr>
                <w:sz w:val="20"/>
              </w:rPr>
            </w:r>
          </w:p>
        </w:tc>
        <w:tc>
          <w:tcPr>
            <w:tcW w:w="737" w:type="dxa"/>
          </w:tcPr>
          <w:p>
            <w:pPr>
              <w:pStyle w:val="0"/>
            </w:pPr>
            <w:r>
              <w:rPr>
                <w:sz w:val="20"/>
              </w:rPr>
            </w:r>
          </w:p>
        </w:tc>
        <w:tc>
          <w:tcPr>
            <w:tcW w:w="1531" w:type="dxa"/>
          </w:tcPr>
          <w:p>
            <w:pPr>
              <w:pStyle w:val="0"/>
            </w:pPr>
            <w:r>
              <w:rPr>
                <w:sz w:val="20"/>
              </w:rPr>
            </w:r>
          </w:p>
        </w:tc>
        <w:tc>
          <w:tcPr>
            <w:tcW w:w="1191" w:type="dxa"/>
          </w:tcPr>
          <w:p>
            <w:pPr>
              <w:pStyle w:val="0"/>
            </w:pPr>
            <w:r>
              <w:rPr>
                <w:sz w:val="20"/>
              </w:rPr>
            </w:r>
          </w:p>
        </w:tc>
        <w:tc>
          <w:tcPr>
            <w:tcW w:w="964" w:type="dxa"/>
          </w:tcPr>
          <w:p>
            <w:pPr>
              <w:pStyle w:val="0"/>
            </w:pPr>
            <w:r>
              <w:rPr>
                <w:sz w:val="20"/>
              </w:rPr>
            </w:r>
          </w:p>
        </w:tc>
        <w:tc>
          <w:tcPr>
            <w:tcW w:w="1020" w:type="dxa"/>
          </w:tcPr>
          <w:p>
            <w:pPr>
              <w:pStyle w:val="0"/>
            </w:pPr>
            <w:r>
              <w:rPr>
                <w:sz w:val="20"/>
              </w:rPr>
            </w:r>
          </w:p>
        </w:tc>
        <w:tc>
          <w:tcPr>
            <w:tcW w:w="907" w:type="dxa"/>
          </w:tcPr>
          <w:p>
            <w:pPr>
              <w:pStyle w:val="0"/>
            </w:pPr>
            <w:r>
              <w:rPr>
                <w:sz w:val="20"/>
              </w:rPr>
            </w:r>
          </w:p>
        </w:tc>
        <w:tc>
          <w:tcPr>
            <w:tcW w:w="1191" w:type="dxa"/>
          </w:tcPr>
          <w:p>
            <w:pPr>
              <w:pStyle w:val="0"/>
            </w:pPr>
            <w:r>
              <w:rPr>
                <w:sz w:val="20"/>
              </w:rPr>
            </w:r>
          </w:p>
        </w:tc>
      </w:tr>
      <w:tr>
        <w:tc>
          <w:tcPr>
            <w:gridSpan w:val="3"/>
            <w:tcW w:w="3372" w:type="dxa"/>
          </w:tcPr>
          <w:p>
            <w:pPr>
              <w:pStyle w:val="0"/>
            </w:pPr>
            <w:r>
              <w:rPr>
                <w:sz w:val="20"/>
              </w:rPr>
              <w:t xml:space="preserve">Итого по МО2</w:t>
            </w:r>
          </w:p>
        </w:tc>
        <w:tc>
          <w:tcPr>
            <w:tcW w:w="1191" w:type="dxa"/>
          </w:tcPr>
          <w:p>
            <w:pPr>
              <w:pStyle w:val="0"/>
            </w:pPr>
            <w:r>
              <w:rPr>
                <w:sz w:val="20"/>
              </w:rPr>
            </w:r>
          </w:p>
        </w:tc>
        <w:tc>
          <w:tcPr>
            <w:tcW w:w="694" w:type="dxa"/>
          </w:tcPr>
          <w:p>
            <w:pPr>
              <w:pStyle w:val="0"/>
            </w:pPr>
            <w:r>
              <w:rPr>
                <w:sz w:val="20"/>
              </w:rPr>
            </w:r>
          </w:p>
        </w:tc>
        <w:tc>
          <w:tcPr>
            <w:tcW w:w="1134" w:type="dxa"/>
          </w:tcPr>
          <w:p>
            <w:pPr>
              <w:pStyle w:val="0"/>
            </w:pPr>
            <w:r>
              <w:rPr>
                <w:sz w:val="20"/>
              </w:rPr>
            </w:r>
          </w:p>
        </w:tc>
        <w:tc>
          <w:tcPr>
            <w:tcW w:w="1134" w:type="dxa"/>
          </w:tcPr>
          <w:p>
            <w:pPr>
              <w:pStyle w:val="0"/>
            </w:pPr>
            <w:r>
              <w:rPr>
                <w:sz w:val="20"/>
              </w:rPr>
            </w:r>
          </w:p>
        </w:tc>
        <w:tc>
          <w:tcPr>
            <w:tcW w:w="910" w:type="dxa"/>
          </w:tcPr>
          <w:p>
            <w:pPr>
              <w:pStyle w:val="0"/>
            </w:pPr>
            <w:r>
              <w:rPr>
                <w:sz w:val="20"/>
              </w:rPr>
            </w:r>
          </w:p>
        </w:tc>
        <w:tc>
          <w:tcPr>
            <w:tcW w:w="835" w:type="dxa"/>
          </w:tcPr>
          <w:p>
            <w:pPr>
              <w:pStyle w:val="0"/>
            </w:pPr>
            <w:r>
              <w:rPr>
                <w:sz w:val="20"/>
              </w:rPr>
            </w:r>
          </w:p>
        </w:tc>
        <w:tc>
          <w:tcPr>
            <w:tcW w:w="907" w:type="dxa"/>
          </w:tcPr>
          <w:p>
            <w:pPr>
              <w:pStyle w:val="0"/>
            </w:pPr>
            <w:r>
              <w:rPr>
                <w:sz w:val="20"/>
              </w:rPr>
            </w:r>
          </w:p>
        </w:tc>
        <w:tc>
          <w:tcPr>
            <w:tcW w:w="567" w:type="dxa"/>
          </w:tcPr>
          <w:p>
            <w:pPr>
              <w:pStyle w:val="0"/>
            </w:pPr>
            <w:r>
              <w:rPr>
                <w:sz w:val="20"/>
              </w:rPr>
            </w:r>
          </w:p>
        </w:tc>
        <w:tc>
          <w:tcPr>
            <w:tcW w:w="624" w:type="dxa"/>
          </w:tcPr>
          <w:p>
            <w:pPr>
              <w:pStyle w:val="0"/>
            </w:pPr>
            <w:r>
              <w:rPr>
                <w:sz w:val="20"/>
              </w:rPr>
            </w:r>
          </w:p>
        </w:tc>
        <w:tc>
          <w:tcPr>
            <w:tcW w:w="454" w:type="dxa"/>
          </w:tcPr>
          <w:p>
            <w:pPr>
              <w:pStyle w:val="0"/>
            </w:pPr>
            <w:r>
              <w:rPr>
                <w:sz w:val="20"/>
              </w:rPr>
            </w:r>
          </w:p>
        </w:tc>
        <w:tc>
          <w:tcPr>
            <w:tcW w:w="529" w:type="dxa"/>
          </w:tcPr>
          <w:p>
            <w:pPr>
              <w:pStyle w:val="0"/>
            </w:pPr>
            <w:r>
              <w:rPr>
                <w:sz w:val="20"/>
              </w:rPr>
            </w:r>
          </w:p>
        </w:tc>
        <w:tc>
          <w:tcPr>
            <w:tcW w:w="695" w:type="dxa"/>
          </w:tcPr>
          <w:p>
            <w:pPr>
              <w:pStyle w:val="0"/>
            </w:pPr>
            <w:r>
              <w:rPr>
                <w:sz w:val="20"/>
              </w:rPr>
            </w:r>
          </w:p>
        </w:tc>
        <w:tc>
          <w:tcPr>
            <w:tcW w:w="659" w:type="dxa"/>
          </w:tcPr>
          <w:p>
            <w:pPr>
              <w:pStyle w:val="0"/>
            </w:pPr>
            <w:r>
              <w:rPr>
                <w:sz w:val="20"/>
              </w:rPr>
            </w:r>
          </w:p>
        </w:tc>
        <w:tc>
          <w:tcPr>
            <w:tcW w:w="510" w:type="dxa"/>
          </w:tcPr>
          <w:p>
            <w:pPr>
              <w:pStyle w:val="0"/>
            </w:pPr>
            <w:r>
              <w:rPr>
                <w:sz w:val="20"/>
              </w:rPr>
            </w:r>
          </w:p>
        </w:tc>
        <w:tc>
          <w:tcPr>
            <w:tcW w:w="529" w:type="dxa"/>
          </w:tcPr>
          <w:p>
            <w:pPr>
              <w:pStyle w:val="0"/>
            </w:pPr>
            <w:r>
              <w:rPr>
                <w:sz w:val="20"/>
              </w:rPr>
            </w:r>
          </w:p>
        </w:tc>
        <w:tc>
          <w:tcPr>
            <w:tcW w:w="510" w:type="dxa"/>
          </w:tcPr>
          <w:p>
            <w:pPr>
              <w:pStyle w:val="0"/>
            </w:pPr>
            <w:r>
              <w:rPr>
                <w:sz w:val="20"/>
              </w:rPr>
            </w:r>
          </w:p>
        </w:tc>
        <w:tc>
          <w:tcPr>
            <w:tcW w:w="565" w:type="dxa"/>
          </w:tcPr>
          <w:p>
            <w:pPr>
              <w:pStyle w:val="0"/>
            </w:pPr>
            <w:r>
              <w:rPr>
                <w:sz w:val="20"/>
              </w:rPr>
            </w:r>
          </w:p>
        </w:tc>
        <w:tc>
          <w:tcPr>
            <w:tcW w:w="737" w:type="dxa"/>
          </w:tcPr>
          <w:p>
            <w:pPr>
              <w:pStyle w:val="0"/>
            </w:pPr>
            <w:r>
              <w:rPr>
                <w:sz w:val="20"/>
              </w:rPr>
            </w:r>
          </w:p>
        </w:tc>
        <w:tc>
          <w:tcPr>
            <w:tcW w:w="1531" w:type="dxa"/>
          </w:tcPr>
          <w:p>
            <w:pPr>
              <w:pStyle w:val="0"/>
            </w:pPr>
            <w:r>
              <w:rPr>
                <w:sz w:val="20"/>
              </w:rPr>
            </w:r>
          </w:p>
        </w:tc>
        <w:tc>
          <w:tcPr>
            <w:tcW w:w="1191" w:type="dxa"/>
          </w:tcPr>
          <w:p>
            <w:pPr>
              <w:pStyle w:val="0"/>
            </w:pPr>
            <w:r>
              <w:rPr>
                <w:sz w:val="20"/>
              </w:rPr>
            </w:r>
          </w:p>
        </w:tc>
        <w:tc>
          <w:tcPr>
            <w:tcW w:w="964" w:type="dxa"/>
          </w:tcPr>
          <w:p>
            <w:pPr>
              <w:pStyle w:val="0"/>
            </w:pPr>
            <w:r>
              <w:rPr>
                <w:sz w:val="20"/>
              </w:rPr>
            </w:r>
          </w:p>
        </w:tc>
        <w:tc>
          <w:tcPr>
            <w:tcW w:w="1020" w:type="dxa"/>
          </w:tcPr>
          <w:p>
            <w:pPr>
              <w:pStyle w:val="0"/>
            </w:pPr>
            <w:r>
              <w:rPr>
                <w:sz w:val="20"/>
              </w:rPr>
            </w:r>
          </w:p>
        </w:tc>
        <w:tc>
          <w:tcPr>
            <w:tcW w:w="907" w:type="dxa"/>
          </w:tcPr>
          <w:p>
            <w:pPr>
              <w:pStyle w:val="0"/>
            </w:pPr>
            <w:r>
              <w:rPr>
                <w:sz w:val="20"/>
              </w:rPr>
            </w:r>
          </w:p>
        </w:tc>
        <w:tc>
          <w:tcPr>
            <w:tcW w:w="1191" w:type="dxa"/>
          </w:tcPr>
          <w:p>
            <w:pPr>
              <w:pStyle w:val="0"/>
            </w:pPr>
            <w:r>
              <w:rPr>
                <w:sz w:val="20"/>
              </w:rPr>
            </w:r>
          </w:p>
        </w:tc>
      </w:tr>
      <w:tr>
        <w:tc>
          <w:tcPr>
            <w:tcW w:w="514" w:type="dxa"/>
          </w:tcPr>
          <w:p>
            <w:pPr>
              <w:pStyle w:val="0"/>
              <w:jc w:val="center"/>
            </w:pPr>
            <w:r>
              <w:rPr>
                <w:sz w:val="20"/>
              </w:rPr>
              <w:t xml:space="preserve">n + 1</w:t>
            </w:r>
          </w:p>
        </w:tc>
        <w:tc>
          <w:tcPr>
            <w:tcW w:w="844" w:type="dxa"/>
          </w:tcPr>
          <w:p>
            <w:pPr>
              <w:pStyle w:val="0"/>
              <w:jc w:val="center"/>
            </w:pPr>
            <w:r>
              <w:rPr>
                <w:sz w:val="20"/>
              </w:rPr>
              <w:t xml:space="preserve">k</w:t>
            </w:r>
          </w:p>
        </w:tc>
        <w:tc>
          <w:tcPr>
            <w:tcW w:w="2014" w:type="dxa"/>
          </w:tcPr>
          <w:p>
            <w:pPr>
              <w:pStyle w:val="0"/>
            </w:pPr>
            <w:r>
              <w:rPr>
                <w:sz w:val="20"/>
              </w:rPr>
            </w:r>
          </w:p>
        </w:tc>
        <w:tc>
          <w:tcPr>
            <w:tcW w:w="1191" w:type="dxa"/>
          </w:tcPr>
          <w:p>
            <w:pPr>
              <w:pStyle w:val="0"/>
            </w:pPr>
            <w:r>
              <w:rPr>
                <w:sz w:val="20"/>
              </w:rPr>
            </w:r>
          </w:p>
        </w:tc>
        <w:tc>
          <w:tcPr>
            <w:tcW w:w="694" w:type="dxa"/>
          </w:tcPr>
          <w:p>
            <w:pPr>
              <w:pStyle w:val="0"/>
            </w:pPr>
            <w:r>
              <w:rPr>
                <w:sz w:val="20"/>
              </w:rPr>
            </w:r>
          </w:p>
        </w:tc>
        <w:tc>
          <w:tcPr>
            <w:tcW w:w="1134" w:type="dxa"/>
          </w:tcPr>
          <w:p>
            <w:pPr>
              <w:pStyle w:val="0"/>
            </w:pPr>
            <w:r>
              <w:rPr>
                <w:sz w:val="20"/>
              </w:rPr>
            </w:r>
          </w:p>
        </w:tc>
        <w:tc>
          <w:tcPr>
            <w:tcW w:w="1134" w:type="dxa"/>
          </w:tcPr>
          <w:p>
            <w:pPr>
              <w:pStyle w:val="0"/>
            </w:pPr>
            <w:r>
              <w:rPr>
                <w:sz w:val="20"/>
              </w:rPr>
            </w:r>
          </w:p>
        </w:tc>
        <w:tc>
          <w:tcPr>
            <w:tcW w:w="910" w:type="dxa"/>
          </w:tcPr>
          <w:p>
            <w:pPr>
              <w:pStyle w:val="0"/>
            </w:pPr>
            <w:r>
              <w:rPr>
                <w:sz w:val="20"/>
              </w:rPr>
            </w:r>
          </w:p>
        </w:tc>
        <w:tc>
          <w:tcPr>
            <w:tcW w:w="835" w:type="dxa"/>
          </w:tcPr>
          <w:p>
            <w:pPr>
              <w:pStyle w:val="0"/>
            </w:pPr>
            <w:r>
              <w:rPr>
                <w:sz w:val="20"/>
              </w:rPr>
            </w:r>
          </w:p>
        </w:tc>
        <w:tc>
          <w:tcPr>
            <w:tcW w:w="907" w:type="dxa"/>
          </w:tcPr>
          <w:p>
            <w:pPr>
              <w:pStyle w:val="0"/>
            </w:pPr>
            <w:r>
              <w:rPr>
                <w:sz w:val="20"/>
              </w:rPr>
            </w:r>
          </w:p>
        </w:tc>
        <w:tc>
          <w:tcPr>
            <w:tcW w:w="567" w:type="dxa"/>
          </w:tcPr>
          <w:p>
            <w:pPr>
              <w:pStyle w:val="0"/>
            </w:pPr>
            <w:r>
              <w:rPr>
                <w:sz w:val="20"/>
              </w:rPr>
            </w:r>
          </w:p>
        </w:tc>
        <w:tc>
          <w:tcPr>
            <w:tcW w:w="624" w:type="dxa"/>
          </w:tcPr>
          <w:p>
            <w:pPr>
              <w:pStyle w:val="0"/>
            </w:pPr>
            <w:r>
              <w:rPr>
                <w:sz w:val="20"/>
              </w:rPr>
            </w:r>
          </w:p>
        </w:tc>
        <w:tc>
          <w:tcPr>
            <w:tcW w:w="454" w:type="dxa"/>
          </w:tcPr>
          <w:p>
            <w:pPr>
              <w:pStyle w:val="0"/>
            </w:pPr>
            <w:r>
              <w:rPr>
                <w:sz w:val="20"/>
              </w:rPr>
            </w:r>
          </w:p>
        </w:tc>
        <w:tc>
          <w:tcPr>
            <w:tcW w:w="529" w:type="dxa"/>
          </w:tcPr>
          <w:p>
            <w:pPr>
              <w:pStyle w:val="0"/>
            </w:pPr>
            <w:r>
              <w:rPr>
                <w:sz w:val="20"/>
              </w:rPr>
            </w:r>
          </w:p>
        </w:tc>
        <w:tc>
          <w:tcPr>
            <w:tcW w:w="695" w:type="dxa"/>
          </w:tcPr>
          <w:p>
            <w:pPr>
              <w:pStyle w:val="0"/>
            </w:pPr>
            <w:r>
              <w:rPr>
                <w:sz w:val="20"/>
              </w:rPr>
            </w:r>
          </w:p>
        </w:tc>
        <w:tc>
          <w:tcPr>
            <w:tcW w:w="659" w:type="dxa"/>
          </w:tcPr>
          <w:p>
            <w:pPr>
              <w:pStyle w:val="0"/>
            </w:pPr>
            <w:r>
              <w:rPr>
                <w:sz w:val="20"/>
              </w:rPr>
            </w:r>
          </w:p>
        </w:tc>
        <w:tc>
          <w:tcPr>
            <w:tcW w:w="510" w:type="dxa"/>
          </w:tcPr>
          <w:p>
            <w:pPr>
              <w:pStyle w:val="0"/>
            </w:pPr>
            <w:r>
              <w:rPr>
                <w:sz w:val="20"/>
              </w:rPr>
            </w:r>
          </w:p>
        </w:tc>
        <w:tc>
          <w:tcPr>
            <w:tcW w:w="529" w:type="dxa"/>
          </w:tcPr>
          <w:p>
            <w:pPr>
              <w:pStyle w:val="0"/>
            </w:pPr>
            <w:r>
              <w:rPr>
                <w:sz w:val="20"/>
              </w:rPr>
            </w:r>
          </w:p>
        </w:tc>
        <w:tc>
          <w:tcPr>
            <w:tcW w:w="510" w:type="dxa"/>
          </w:tcPr>
          <w:p>
            <w:pPr>
              <w:pStyle w:val="0"/>
            </w:pPr>
            <w:r>
              <w:rPr>
                <w:sz w:val="20"/>
              </w:rPr>
            </w:r>
          </w:p>
        </w:tc>
        <w:tc>
          <w:tcPr>
            <w:tcW w:w="565" w:type="dxa"/>
          </w:tcPr>
          <w:p>
            <w:pPr>
              <w:pStyle w:val="0"/>
            </w:pPr>
            <w:r>
              <w:rPr>
                <w:sz w:val="20"/>
              </w:rPr>
            </w:r>
          </w:p>
        </w:tc>
        <w:tc>
          <w:tcPr>
            <w:tcW w:w="737" w:type="dxa"/>
          </w:tcPr>
          <w:p>
            <w:pPr>
              <w:pStyle w:val="0"/>
            </w:pPr>
            <w:r>
              <w:rPr>
                <w:sz w:val="20"/>
              </w:rPr>
            </w:r>
          </w:p>
        </w:tc>
        <w:tc>
          <w:tcPr>
            <w:tcW w:w="1531" w:type="dxa"/>
          </w:tcPr>
          <w:p>
            <w:pPr>
              <w:pStyle w:val="0"/>
            </w:pPr>
            <w:r>
              <w:rPr>
                <w:sz w:val="20"/>
              </w:rPr>
            </w:r>
          </w:p>
        </w:tc>
        <w:tc>
          <w:tcPr>
            <w:tcW w:w="1191" w:type="dxa"/>
          </w:tcPr>
          <w:p>
            <w:pPr>
              <w:pStyle w:val="0"/>
            </w:pPr>
            <w:r>
              <w:rPr>
                <w:sz w:val="20"/>
              </w:rPr>
            </w:r>
          </w:p>
        </w:tc>
        <w:tc>
          <w:tcPr>
            <w:tcW w:w="964" w:type="dxa"/>
          </w:tcPr>
          <w:p>
            <w:pPr>
              <w:pStyle w:val="0"/>
            </w:pPr>
            <w:r>
              <w:rPr>
                <w:sz w:val="20"/>
              </w:rPr>
            </w:r>
          </w:p>
        </w:tc>
        <w:tc>
          <w:tcPr>
            <w:tcW w:w="1020" w:type="dxa"/>
          </w:tcPr>
          <w:p>
            <w:pPr>
              <w:pStyle w:val="0"/>
            </w:pPr>
            <w:r>
              <w:rPr>
                <w:sz w:val="20"/>
              </w:rPr>
            </w:r>
          </w:p>
        </w:tc>
        <w:tc>
          <w:tcPr>
            <w:tcW w:w="907" w:type="dxa"/>
          </w:tcPr>
          <w:p>
            <w:pPr>
              <w:pStyle w:val="0"/>
            </w:pPr>
            <w:r>
              <w:rPr>
                <w:sz w:val="20"/>
              </w:rPr>
            </w:r>
          </w:p>
        </w:tc>
        <w:tc>
          <w:tcPr>
            <w:tcW w:w="1191" w:type="dxa"/>
          </w:tcPr>
          <w:p>
            <w:pPr>
              <w:pStyle w:val="0"/>
            </w:pPr>
            <w:r>
              <w:rPr>
                <w:sz w:val="20"/>
              </w:rPr>
            </w:r>
          </w:p>
        </w:tc>
      </w:tr>
      <w:tr>
        <w:tc>
          <w:tcPr>
            <w:tcW w:w="514" w:type="dxa"/>
          </w:tcPr>
          <w:p>
            <w:pPr>
              <w:pStyle w:val="0"/>
              <w:jc w:val="center"/>
            </w:pPr>
            <w:r>
              <w:rPr>
                <w:sz w:val="20"/>
              </w:rPr>
              <w:t xml:space="preserve">...</w:t>
            </w:r>
          </w:p>
        </w:tc>
        <w:tc>
          <w:tcPr>
            <w:tcW w:w="844" w:type="dxa"/>
          </w:tcPr>
          <w:p>
            <w:pPr>
              <w:pStyle w:val="0"/>
              <w:jc w:val="center"/>
            </w:pPr>
            <w:r>
              <w:rPr>
                <w:sz w:val="20"/>
              </w:rPr>
              <w:t xml:space="preserve">...</w:t>
            </w:r>
          </w:p>
        </w:tc>
        <w:tc>
          <w:tcPr>
            <w:tcW w:w="2014" w:type="dxa"/>
          </w:tcPr>
          <w:p>
            <w:pPr>
              <w:pStyle w:val="0"/>
            </w:pPr>
            <w:r>
              <w:rPr>
                <w:sz w:val="20"/>
              </w:rPr>
            </w:r>
          </w:p>
        </w:tc>
        <w:tc>
          <w:tcPr>
            <w:tcW w:w="1191" w:type="dxa"/>
          </w:tcPr>
          <w:p>
            <w:pPr>
              <w:pStyle w:val="0"/>
            </w:pPr>
            <w:r>
              <w:rPr>
                <w:sz w:val="20"/>
              </w:rPr>
            </w:r>
          </w:p>
        </w:tc>
        <w:tc>
          <w:tcPr>
            <w:tcW w:w="694" w:type="dxa"/>
          </w:tcPr>
          <w:p>
            <w:pPr>
              <w:pStyle w:val="0"/>
            </w:pPr>
            <w:r>
              <w:rPr>
                <w:sz w:val="20"/>
              </w:rPr>
            </w:r>
          </w:p>
        </w:tc>
        <w:tc>
          <w:tcPr>
            <w:tcW w:w="1134" w:type="dxa"/>
          </w:tcPr>
          <w:p>
            <w:pPr>
              <w:pStyle w:val="0"/>
            </w:pPr>
            <w:r>
              <w:rPr>
                <w:sz w:val="20"/>
              </w:rPr>
            </w:r>
          </w:p>
        </w:tc>
        <w:tc>
          <w:tcPr>
            <w:tcW w:w="1134" w:type="dxa"/>
          </w:tcPr>
          <w:p>
            <w:pPr>
              <w:pStyle w:val="0"/>
            </w:pPr>
            <w:r>
              <w:rPr>
                <w:sz w:val="20"/>
              </w:rPr>
            </w:r>
          </w:p>
        </w:tc>
        <w:tc>
          <w:tcPr>
            <w:tcW w:w="910" w:type="dxa"/>
          </w:tcPr>
          <w:p>
            <w:pPr>
              <w:pStyle w:val="0"/>
            </w:pPr>
            <w:r>
              <w:rPr>
                <w:sz w:val="20"/>
              </w:rPr>
            </w:r>
          </w:p>
        </w:tc>
        <w:tc>
          <w:tcPr>
            <w:tcW w:w="835" w:type="dxa"/>
          </w:tcPr>
          <w:p>
            <w:pPr>
              <w:pStyle w:val="0"/>
            </w:pPr>
            <w:r>
              <w:rPr>
                <w:sz w:val="20"/>
              </w:rPr>
            </w:r>
          </w:p>
        </w:tc>
        <w:tc>
          <w:tcPr>
            <w:tcW w:w="907" w:type="dxa"/>
          </w:tcPr>
          <w:p>
            <w:pPr>
              <w:pStyle w:val="0"/>
            </w:pPr>
            <w:r>
              <w:rPr>
                <w:sz w:val="20"/>
              </w:rPr>
            </w:r>
          </w:p>
        </w:tc>
        <w:tc>
          <w:tcPr>
            <w:tcW w:w="567" w:type="dxa"/>
          </w:tcPr>
          <w:p>
            <w:pPr>
              <w:pStyle w:val="0"/>
            </w:pPr>
            <w:r>
              <w:rPr>
                <w:sz w:val="20"/>
              </w:rPr>
            </w:r>
          </w:p>
        </w:tc>
        <w:tc>
          <w:tcPr>
            <w:tcW w:w="624" w:type="dxa"/>
          </w:tcPr>
          <w:p>
            <w:pPr>
              <w:pStyle w:val="0"/>
            </w:pPr>
            <w:r>
              <w:rPr>
                <w:sz w:val="20"/>
              </w:rPr>
            </w:r>
          </w:p>
        </w:tc>
        <w:tc>
          <w:tcPr>
            <w:tcW w:w="454" w:type="dxa"/>
          </w:tcPr>
          <w:p>
            <w:pPr>
              <w:pStyle w:val="0"/>
            </w:pPr>
            <w:r>
              <w:rPr>
                <w:sz w:val="20"/>
              </w:rPr>
            </w:r>
          </w:p>
        </w:tc>
        <w:tc>
          <w:tcPr>
            <w:tcW w:w="529" w:type="dxa"/>
          </w:tcPr>
          <w:p>
            <w:pPr>
              <w:pStyle w:val="0"/>
            </w:pPr>
            <w:r>
              <w:rPr>
                <w:sz w:val="20"/>
              </w:rPr>
            </w:r>
          </w:p>
        </w:tc>
        <w:tc>
          <w:tcPr>
            <w:tcW w:w="695" w:type="dxa"/>
          </w:tcPr>
          <w:p>
            <w:pPr>
              <w:pStyle w:val="0"/>
            </w:pPr>
            <w:r>
              <w:rPr>
                <w:sz w:val="20"/>
              </w:rPr>
            </w:r>
          </w:p>
        </w:tc>
        <w:tc>
          <w:tcPr>
            <w:tcW w:w="659" w:type="dxa"/>
          </w:tcPr>
          <w:p>
            <w:pPr>
              <w:pStyle w:val="0"/>
            </w:pPr>
            <w:r>
              <w:rPr>
                <w:sz w:val="20"/>
              </w:rPr>
            </w:r>
          </w:p>
        </w:tc>
        <w:tc>
          <w:tcPr>
            <w:tcW w:w="510" w:type="dxa"/>
          </w:tcPr>
          <w:p>
            <w:pPr>
              <w:pStyle w:val="0"/>
            </w:pPr>
            <w:r>
              <w:rPr>
                <w:sz w:val="20"/>
              </w:rPr>
            </w:r>
          </w:p>
        </w:tc>
        <w:tc>
          <w:tcPr>
            <w:tcW w:w="529" w:type="dxa"/>
          </w:tcPr>
          <w:p>
            <w:pPr>
              <w:pStyle w:val="0"/>
            </w:pPr>
            <w:r>
              <w:rPr>
                <w:sz w:val="20"/>
              </w:rPr>
            </w:r>
          </w:p>
        </w:tc>
        <w:tc>
          <w:tcPr>
            <w:tcW w:w="510" w:type="dxa"/>
          </w:tcPr>
          <w:p>
            <w:pPr>
              <w:pStyle w:val="0"/>
            </w:pPr>
            <w:r>
              <w:rPr>
                <w:sz w:val="20"/>
              </w:rPr>
            </w:r>
          </w:p>
        </w:tc>
        <w:tc>
          <w:tcPr>
            <w:tcW w:w="565" w:type="dxa"/>
          </w:tcPr>
          <w:p>
            <w:pPr>
              <w:pStyle w:val="0"/>
            </w:pPr>
            <w:r>
              <w:rPr>
                <w:sz w:val="20"/>
              </w:rPr>
            </w:r>
          </w:p>
        </w:tc>
        <w:tc>
          <w:tcPr>
            <w:tcW w:w="737" w:type="dxa"/>
          </w:tcPr>
          <w:p>
            <w:pPr>
              <w:pStyle w:val="0"/>
            </w:pPr>
            <w:r>
              <w:rPr>
                <w:sz w:val="20"/>
              </w:rPr>
            </w:r>
          </w:p>
        </w:tc>
        <w:tc>
          <w:tcPr>
            <w:tcW w:w="1531" w:type="dxa"/>
          </w:tcPr>
          <w:p>
            <w:pPr>
              <w:pStyle w:val="0"/>
            </w:pPr>
            <w:r>
              <w:rPr>
                <w:sz w:val="20"/>
              </w:rPr>
            </w:r>
          </w:p>
        </w:tc>
        <w:tc>
          <w:tcPr>
            <w:tcW w:w="1191" w:type="dxa"/>
          </w:tcPr>
          <w:p>
            <w:pPr>
              <w:pStyle w:val="0"/>
            </w:pPr>
            <w:r>
              <w:rPr>
                <w:sz w:val="20"/>
              </w:rPr>
            </w:r>
          </w:p>
        </w:tc>
        <w:tc>
          <w:tcPr>
            <w:tcW w:w="964" w:type="dxa"/>
          </w:tcPr>
          <w:p>
            <w:pPr>
              <w:pStyle w:val="0"/>
            </w:pPr>
            <w:r>
              <w:rPr>
                <w:sz w:val="20"/>
              </w:rPr>
            </w:r>
          </w:p>
        </w:tc>
        <w:tc>
          <w:tcPr>
            <w:tcW w:w="1020" w:type="dxa"/>
          </w:tcPr>
          <w:p>
            <w:pPr>
              <w:pStyle w:val="0"/>
            </w:pPr>
            <w:r>
              <w:rPr>
                <w:sz w:val="20"/>
              </w:rPr>
            </w:r>
          </w:p>
        </w:tc>
        <w:tc>
          <w:tcPr>
            <w:tcW w:w="907" w:type="dxa"/>
          </w:tcPr>
          <w:p>
            <w:pPr>
              <w:pStyle w:val="0"/>
            </w:pPr>
            <w:r>
              <w:rPr>
                <w:sz w:val="20"/>
              </w:rPr>
            </w:r>
          </w:p>
        </w:tc>
        <w:tc>
          <w:tcPr>
            <w:tcW w:w="1191" w:type="dxa"/>
          </w:tcPr>
          <w:p>
            <w:pPr>
              <w:pStyle w:val="0"/>
            </w:pPr>
            <w:r>
              <w:rPr>
                <w:sz w:val="20"/>
              </w:rPr>
            </w:r>
          </w:p>
        </w:tc>
      </w:tr>
    </w:tbl>
    <w:p>
      <w:pPr>
        <w:pStyle w:val="0"/>
        <w:jc w:val="center"/>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43"/>
      <w:headerReference w:type="first" r:id="rId43"/>
      <w:footerReference w:type="default" r:id="rId44"/>
      <w:footerReference w:type="first" r:id="rId44"/>
      <w:pgSz w:w="16838" w:h="11906" w:orient="landscape"/>
      <w:pgMar w:top="1133" w:right="1440" w:bottom="566" w:left="1440"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17.03.2014 N 92-пп</w:t>
            <w:br/>
            <w:t>(ред. от 11.04.2022)</w:t>
            <w:br/>
            <w:t>"Об утверждении порядка разрабо...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22.05.2023</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17.03.2014 N 92-пп</w:t>
            <w:br/>
            <w:t>(ред. от 11.04.2022)</w:t>
            <w:br/>
            <w:t>"Об утверждении порядка разрабо...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22.05.2023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E644D9118C16DB87B23E5E6BFC433CAF40D02A022D3835041554EBE01EB709D7B9DAC1DAEC0099A005758B7BF700870C4F1EEF7719E343AD249E5FUA2DI" TargetMode = "External"/>
	<Relationship Id="rId8" Type="http://schemas.openxmlformats.org/officeDocument/2006/relationships/hyperlink" Target="consultantplus://offline/ref=E644D9118C16DB87B23E5E6BFC433CAF40D02A022D393B031654EBE01EB709D7B9DAC1DAEC0099A005758F78F700870C4F1EEF7719E343AD249E5FUA2DI" TargetMode = "External"/>
	<Relationship Id="rId9" Type="http://schemas.openxmlformats.org/officeDocument/2006/relationships/hyperlink" Target="consultantplus://offline/ref=E644D9118C16DB87B23E5E6BFC433CAF40D02A022C3D3F041654EBE01EB709D7B9DAC1DAEC0099A005758F78F700870C4F1EEF7719E343AD249E5FUA2DI" TargetMode = "External"/>
	<Relationship Id="rId10" Type="http://schemas.openxmlformats.org/officeDocument/2006/relationships/hyperlink" Target="consultantplus://offline/ref=E644D9118C16DB87B23E5E6BFC433CAF40D02A022F3E3F071654EBE01EB709D7B9DAC1DAEC0099A005758F78F700870C4F1EEF7719E343AD249E5FUA2DI" TargetMode = "External"/>
	<Relationship Id="rId11" Type="http://schemas.openxmlformats.org/officeDocument/2006/relationships/hyperlink" Target="consultantplus://offline/ref=E644D9118C16DB87B23E5E6BFC433CAF40D02A022E383A061654EBE01EB709D7B9DAC1DAEC0099A005758F78F700870C4F1EEF7719E343AD249E5FUA2DI" TargetMode = "External"/>
	<Relationship Id="rId12" Type="http://schemas.openxmlformats.org/officeDocument/2006/relationships/hyperlink" Target="consultantplus://offline/ref=E644D9118C16DB87B23E5E6BFC433CAF40D02A02213934071554EBE01EB709D7B9DAC1DAEC0099A005758D78F700870C4F1EEF7719E343AD249E5FUA2DI" TargetMode = "External"/>
	<Relationship Id="rId13" Type="http://schemas.openxmlformats.org/officeDocument/2006/relationships/hyperlink" Target="consultantplus://offline/ref=E644D9118C16DB87B23E4066EA2F66A240DF720E203F3753490BB0BD49BE0380FE95989BAC0D93F45431DA70FE56C8481F0DEF7505UE20I" TargetMode = "External"/>
	<Relationship Id="rId14" Type="http://schemas.openxmlformats.org/officeDocument/2006/relationships/hyperlink" Target="consultantplus://offline/ref=E644D9118C16DB87B23E5E6BFC433CAF40D02A0221343E051C54EBE01EB709D7B9DAC1DAEC0099A005758E7DF700870C4F1EEF7719E343AD249E5FUA2DI" TargetMode = "External"/>
	<Relationship Id="rId15" Type="http://schemas.openxmlformats.org/officeDocument/2006/relationships/hyperlink" Target="consultantplus://offline/ref=E644D9118C16DB87B23E5E6BFC433CAF40D02A022D393B031654EBE01EB709D7B9DAC1DAEC0099A005758F7BF700870C4F1EEF7719E343AD249E5FUA2DI" TargetMode = "External"/>
	<Relationship Id="rId16" Type="http://schemas.openxmlformats.org/officeDocument/2006/relationships/hyperlink" Target="consultantplus://offline/ref=E644D9118C16DB87B23E5E6BFC433CAF40D02A022F3E3F071654EBE01EB709D7B9DAC1DAEC0099A005758F7BF700870C4F1EEF7719E343AD249E5FUA2DI" TargetMode = "External"/>
	<Relationship Id="rId17" Type="http://schemas.openxmlformats.org/officeDocument/2006/relationships/hyperlink" Target="consultantplus://offline/ref=E644D9118C16DB87B23E5E6BFC433CAF40D02A022E383A061654EBE01EB709D7B9DAC1DAEC0099A005758F7BF700870C4F1EEF7719E343AD249E5FUA2DI" TargetMode = "External"/>
	<Relationship Id="rId18" Type="http://schemas.openxmlformats.org/officeDocument/2006/relationships/hyperlink" Target="consultantplus://offline/ref=E644D9118C16DB87B23E5E6BFC433CAF40D02A022D393B031654EBE01EB709D7B9DAC1DAEC0099A005758F7BF700870C4F1EEF7719E343AD249E5FUA2DI" TargetMode = "External"/>
	<Relationship Id="rId19" Type="http://schemas.openxmlformats.org/officeDocument/2006/relationships/hyperlink" Target="consultantplus://offline/ref=E644D9118C16DB87B23E5E6BFC433CAF40D02A022F3E3F071654EBE01EB709D7B9DAC1DAEC0099A005758F7BF700870C4F1EEF7719E343AD249E5FUA2DI" TargetMode = "External"/>
	<Relationship Id="rId20" Type="http://schemas.openxmlformats.org/officeDocument/2006/relationships/hyperlink" Target="consultantplus://offline/ref=E644D9118C16DB87B23E5E6BFC433CAF40D02A022E383A061654EBE01EB709D7B9DAC1DAEC0099A005758F7BF700870C4F1EEF7719E343AD249E5FUA2DI" TargetMode = "External"/>
	<Relationship Id="rId21" Type="http://schemas.openxmlformats.org/officeDocument/2006/relationships/hyperlink" Target="consultantplus://offline/ref=E644D9118C16DB87B23E5E6BFC433CAF40D02A022D3835041554EBE01EB709D7B9DAC1DAEC0099A005758B7AF700870C4F1EEF7719E343AD249E5FUA2DI" TargetMode = "External"/>
	<Relationship Id="rId22" Type="http://schemas.openxmlformats.org/officeDocument/2006/relationships/hyperlink" Target="consultantplus://offline/ref=E644D9118C16DB87B23E5E6BFC433CAF40D02A022D393B031654EBE01EB709D7B9DAC1DAEC0099A005758F7BF700870C4F1EEF7719E343AD249E5FUA2DI" TargetMode = "External"/>
	<Relationship Id="rId23" Type="http://schemas.openxmlformats.org/officeDocument/2006/relationships/hyperlink" Target="consultantplus://offline/ref=E644D9118C16DB87B23E5E6BFC433CAF40D02A022F3E3F071654EBE01EB709D7B9DAC1DAEC0099A005758F7BF700870C4F1EEF7719E343AD249E5FUA2DI" TargetMode = "External"/>
	<Relationship Id="rId24" Type="http://schemas.openxmlformats.org/officeDocument/2006/relationships/hyperlink" Target="consultantplus://offline/ref=E644D9118C16DB87B23E5E6BFC433CAF40D02A022E383A061654EBE01EB709D7B9DAC1DAEC0099A005758F7BF700870C4F1EEF7719E343AD249E5FUA2DI" TargetMode = "External"/>
	<Relationship Id="rId25" Type="http://schemas.openxmlformats.org/officeDocument/2006/relationships/hyperlink" Target="consultantplus://offline/ref=E644D9118C16DB87B23E5E6BFC433CAF40D02A02213934071554EBE01EB709D7B9DAC1DAEC0099A005758D7BF700870C4F1EEF7719E343AD249E5FUA2DI" TargetMode = "External"/>
	<Relationship Id="rId26" Type="http://schemas.openxmlformats.org/officeDocument/2006/relationships/hyperlink" Target="consultantplus://offline/ref=E644D9118C16DB87B23E5E6BFC433CAF40D02A02213934071554EBE01EB709D7B9DAC1DAEC0099A005758D7AF700870C4F1EEF7719E343AD249E5FUA2DI" TargetMode = "External"/>
	<Relationship Id="rId27" Type="http://schemas.openxmlformats.org/officeDocument/2006/relationships/hyperlink" Target="consultantplus://offline/ref=E644D9118C16DB87B23E5E6BFC433CAF40D02A022E383A061654EBE01EB709D7B9DAC1DAEC0099A005758F75F700870C4F1EEF7719E343AD249E5FUA2DI" TargetMode = "External"/>
	<Relationship Id="rId28" Type="http://schemas.openxmlformats.org/officeDocument/2006/relationships/hyperlink" Target="consultantplus://offline/ref=E644D9118C16DB87B23E5E6BFC433CAF40D02A02213934071554EBE01EB709D7B9DAC1DAEC0099A005758D74F700870C4F1EEF7719E343AD249E5FUA2DI" TargetMode = "External"/>
	<Relationship Id="rId29" Type="http://schemas.openxmlformats.org/officeDocument/2006/relationships/hyperlink" Target="consultantplus://offline/ref=E644D9118C16DB87B23E4066EA2F66A240DF720E203F3753490BB0BD49BE0380FE959898A80C9EA6047EDB2CB801DB4A180DED7019E146B1U225I" TargetMode = "External"/>
	<Relationship Id="rId30" Type="http://schemas.openxmlformats.org/officeDocument/2006/relationships/hyperlink" Target="consultantplus://offline/ref=E644D9118C16DB87B23E4066EA2F66A240DF720E203F3753490BB0BD49BE0380FE959898A80C9AA1057EDB2CB801DB4A180DED7019E146B1U225I" TargetMode = "External"/>
	<Relationship Id="rId31" Type="http://schemas.openxmlformats.org/officeDocument/2006/relationships/hyperlink" Target="consultantplus://offline/ref=E644D9118C16DB87B23E5E6BFC433CAF40D02A02213A3C021154EBE01EB709D7B9DAC1DAEC0099A005758D7FF700870C4F1EEF7719E343AD249E5FUA2DI" TargetMode = "External"/>
	<Relationship Id="rId32" Type="http://schemas.openxmlformats.org/officeDocument/2006/relationships/hyperlink" Target="consultantplus://offline/ref=E644D9118C16DB87B23E4066EA2F66A240DF720E203F3753490BB0BD49BE0380FE959898A80C9AA1057EDB2CB801DB4A180DED7019E146B1U225I" TargetMode = "External"/>
	<Relationship Id="rId33" Type="http://schemas.openxmlformats.org/officeDocument/2006/relationships/hyperlink" Target="consultantplus://offline/ref=E644D9118C16DB87B23E5E6BFC433CAF40D02A02213A3C021154EBE01EB709D7B9DAC1DAEC0099A005758D7FF700870C4F1EEF7719E343AD249E5FUA2DI" TargetMode = "External"/>
	<Relationship Id="rId34" Type="http://schemas.openxmlformats.org/officeDocument/2006/relationships/hyperlink" Target="consultantplus://offline/ref=E644D9118C16DB87B23E4066EA2F66A240DF720E203F3753490BB0BD49BE0380EC95C094AA0F86A0006B8D7DFEU527I" TargetMode = "External"/>
	<Relationship Id="rId35" Type="http://schemas.openxmlformats.org/officeDocument/2006/relationships/hyperlink" Target="consultantplus://offline/ref=E644D9118C16DB87B23E5E6BFC433CAF40D02A02213934021254EBE01EB709D7B9DAC1C8EC5895A2076B8F78E256D64AU129I" TargetMode = "External"/>
	<Relationship Id="rId36" Type="http://schemas.openxmlformats.org/officeDocument/2006/relationships/hyperlink" Target="consultantplus://offline/ref=E644D9118C16DB87B23E4066EA2F66A240DF720E203F3753490BB0BD49BE0380FE959898A80C9AA1057EDB2CB801DB4A180DED7019E146B1U225I" TargetMode = "External"/>
	<Relationship Id="rId37" Type="http://schemas.openxmlformats.org/officeDocument/2006/relationships/hyperlink" Target="consultantplus://offline/ref=E644D9118C16DB87B23E4066EA2F66A240DF720E203F3753490BB0BD49BE0380EC95C094AA0F86A0006B8D7DFEU527I" TargetMode = "External"/>
	<Relationship Id="rId38" Type="http://schemas.openxmlformats.org/officeDocument/2006/relationships/hyperlink" Target="consultantplus://offline/ref=E644D9118C16DB87B23E5E6BFC433CAF40D02A02213934021254EBE01EB709D7B9DAC1C8EC5895A2076B8F78E256D64AU129I" TargetMode = "External"/>
	<Relationship Id="rId39" Type="http://schemas.openxmlformats.org/officeDocument/2006/relationships/hyperlink" Target="consultantplus://offline/ref=E644D9118C16DB87B23E4066EA2F66A240DF720E203F3753490BB0BD49BE0380FE959898A80C9AA1057EDB2CB801DB4A180DED7019E146B1U225I" TargetMode = "External"/>
	<Relationship Id="rId40" Type="http://schemas.openxmlformats.org/officeDocument/2006/relationships/hyperlink" Target="consultantplus://offline/ref=E644D9118C16DB87B23E5E6BFC433CAF40D02A02213A3C021154EBE01EB709D7B9DAC1DAEC0099A005748F7AF700870C4F1EEF7719E343AD249E5FUA2DI" TargetMode = "External"/>
	<Relationship Id="rId41" Type="http://schemas.openxmlformats.org/officeDocument/2006/relationships/hyperlink" Target="consultantplus://offline/ref=E644D9118C16DB87B23E5E6BFC433CAF40D02A02213934071554EBE01EB709D7B9DAC1DAEC0099A005758C7DF700870C4F1EEF7719E343AD249E5FUA2DI" TargetMode = "External"/>
	<Relationship Id="rId42" Type="http://schemas.openxmlformats.org/officeDocument/2006/relationships/hyperlink" Target="consultantplus://offline/ref=E644D9118C16DB87B23E5E6BFC433CAF40D02A02213934071554EBE01EB709D7B9DAC1DAEC0099A005758C7CF700870C4F1EEF7719E343AD249E5FUA2DI" TargetMode = "External"/>
	<Relationship Id="rId43" Type="http://schemas.openxmlformats.org/officeDocument/2006/relationships/header" Target="header2.xml"/>
	<Relationship Id="rId44" Type="http://schemas.openxmlformats.org/officeDocument/2006/relationships/footer" Target="footer2.xml"/>
	<Relationship Id="rId45" Type="http://schemas.openxmlformats.org/officeDocument/2006/relationships/hyperlink" Target="consultantplus://offline/ref=E644D9118C16DB87B23E4066EA2F66A240DF720E203F3753490BB0BD49BE0380FE959898A80C9AA1057EDB2CB801DB4A180DED7019E146B1U225I"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17.03.2014 N 92-пп
(ред. от 11.04.2022)
"Об утверждении порядка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2019 - 2048 годы"</dc:title>
  <dcterms:created xsi:type="dcterms:W3CDTF">2023-05-22T08:54:20Z</dcterms:created>
</cp:coreProperties>
</file>